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D4C" w:rsidRPr="00A03778" w:rsidRDefault="00420D4C" w:rsidP="00A03778">
      <w:pPr>
        <w:spacing w:line="360" w:lineRule="atLeast"/>
        <w:ind w:firstLine="720"/>
        <w:jc w:val="center"/>
        <w:rPr>
          <w:color w:val="002060"/>
          <w:sz w:val="24"/>
          <w:szCs w:val="24"/>
        </w:rPr>
      </w:pPr>
      <w:r w:rsidRPr="00A03778">
        <w:rPr>
          <w:b/>
          <w:color w:val="002060"/>
        </w:rPr>
        <w:t>PHỤ LỤC 03</w:t>
      </w:r>
    </w:p>
    <w:p w:rsidR="00420D4C" w:rsidRPr="00A03778" w:rsidRDefault="00420D4C" w:rsidP="00A03778">
      <w:pPr>
        <w:spacing w:line="360" w:lineRule="atLeast"/>
        <w:ind w:firstLine="720"/>
        <w:contextualSpacing/>
        <w:jc w:val="center"/>
        <w:rPr>
          <w:b/>
          <w:color w:val="002060"/>
        </w:rPr>
      </w:pPr>
      <w:r w:rsidRPr="00A03778">
        <w:rPr>
          <w:b/>
          <w:color w:val="002060"/>
        </w:rPr>
        <w:t>HƯỚNG DẪN CHI TIẾT NỘI DUNG, PH</w:t>
      </w:r>
      <w:r w:rsidRPr="00A03778">
        <w:rPr>
          <w:rFonts w:hint="eastAsia"/>
          <w:b/>
          <w:color w:val="002060"/>
        </w:rPr>
        <w:t>ƯƠ</w:t>
      </w:r>
      <w:r w:rsidRPr="00A03778">
        <w:rPr>
          <w:b/>
          <w:color w:val="002060"/>
        </w:rPr>
        <w:t xml:space="preserve">NG PHÁP, </w:t>
      </w:r>
    </w:p>
    <w:p w:rsidR="00420D4C" w:rsidRPr="00A03778" w:rsidRDefault="00420D4C" w:rsidP="00A03778">
      <w:pPr>
        <w:spacing w:line="360" w:lineRule="atLeast"/>
        <w:ind w:firstLine="720"/>
        <w:contextualSpacing/>
        <w:jc w:val="center"/>
        <w:rPr>
          <w:b/>
          <w:color w:val="002060"/>
        </w:rPr>
      </w:pPr>
      <w:r w:rsidRPr="00A03778">
        <w:rPr>
          <w:b/>
          <w:color w:val="002060"/>
        </w:rPr>
        <w:t xml:space="preserve">THỦ TỤC KIỂM TOÁN CÁC HOẠT ĐỘNG TÍN DỤNG CÓ </w:t>
      </w:r>
    </w:p>
    <w:p w:rsidR="00420D4C" w:rsidRPr="00A03778" w:rsidRDefault="00420D4C" w:rsidP="00A03778">
      <w:pPr>
        <w:spacing w:line="360" w:lineRule="atLeast"/>
        <w:ind w:firstLine="720"/>
        <w:contextualSpacing/>
        <w:jc w:val="center"/>
        <w:rPr>
          <w:b/>
          <w:color w:val="002060"/>
        </w:rPr>
      </w:pPr>
      <w:r w:rsidRPr="00A03778">
        <w:rPr>
          <w:b/>
          <w:color w:val="002060"/>
        </w:rPr>
        <w:t>TÍNH ĐẶC THÙ ĐỐI VỚI NGÂN HÀNG CHÍNH SÁCH XÃ HỘI</w:t>
      </w:r>
    </w:p>
    <w:p w:rsidR="00420D4C" w:rsidRPr="00A03778" w:rsidRDefault="00420D4C" w:rsidP="00A03778">
      <w:pPr>
        <w:spacing w:line="360" w:lineRule="atLeast"/>
        <w:ind w:firstLine="720"/>
        <w:jc w:val="center"/>
        <w:rPr>
          <w:i/>
          <w:color w:val="002060"/>
        </w:rPr>
      </w:pPr>
      <w:r w:rsidRPr="00A03778">
        <w:rPr>
          <w:i/>
          <w:color w:val="002060"/>
        </w:rPr>
        <w:t xml:space="preserve">(Kèm theo Quyết định số    /2016/QĐ-KTNN ngày    tháng     năm 2016 </w:t>
      </w:r>
    </w:p>
    <w:p w:rsidR="00420D4C" w:rsidRPr="00A03778" w:rsidRDefault="00420D4C" w:rsidP="00A03778">
      <w:pPr>
        <w:spacing w:line="360" w:lineRule="atLeast"/>
        <w:ind w:firstLine="720"/>
        <w:jc w:val="center"/>
        <w:rPr>
          <w:i/>
          <w:color w:val="002060"/>
        </w:rPr>
      </w:pPr>
      <w:r w:rsidRPr="00A03778">
        <w:rPr>
          <w:i/>
          <w:color w:val="002060"/>
        </w:rPr>
        <w:t>của Tổng Kiểm toán Nhà nước)</w:t>
      </w:r>
    </w:p>
    <w:p w:rsidR="00420D4C" w:rsidRPr="00A03778" w:rsidRDefault="00420D4C" w:rsidP="00A03778">
      <w:pPr>
        <w:spacing w:line="360" w:lineRule="atLeast"/>
        <w:ind w:firstLine="720"/>
        <w:contextualSpacing/>
        <w:jc w:val="both"/>
        <w:rPr>
          <w:color w:val="002060"/>
        </w:rPr>
      </w:pPr>
      <w:r w:rsidRPr="00A03778">
        <w:rPr>
          <w:noProof/>
          <w:color w:val="002060"/>
        </w:rPr>
        <mc:AlternateContent>
          <mc:Choice Requires="wps">
            <w:drawing>
              <wp:anchor distT="0" distB="0" distL="114300" distR="114300" simplePos="0" relativeHeight="251659264" behindDoc="0" locked="0" layoutInCell="1" allowOverlap="1" wp14:anchorId="0CEAF039" wp14:editId="2C0E6126">
                <wp:simplePos x="0" y="0"/>
                <wp:positionH relativeFrom="column">
                  <wp:posOffset>1943100</wp:posOffset>
                </wp:positionH>
                <wp:positionV relativeFrom="paragraph">
                  <wp:posOffset>46990</wp:posOffset>
                </wp:positionV>
                <wp:extent cx="2152650" cy="0"/>
                <wp:effectExtent l="9525" t="9525" r="9525" b="952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 o:spid="_x0000_s1026" type="#_x0000_t32" style="position:absolute;margin-left:153pt;margin-top:3.7pt;width:16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"/>
            </w:pict>
          </mc:Fallback>
        </mc:AlternateContent>
      </w:r>
    </w:p>
    <w:p w:rsidR="00420D4C" w:rsidRPr="00A03778" w:rsidRDefault="00420D4C" w:rsidP="00A03778">
      <w:pPr>
        <w:spacing w:line="360" w:lineRule="atLeast"/>
        <w:ind w:firstLine="720"/>
        <w:contextualSpacing/>
        <w:jc w:val="both"/>
        <w:rPr>
          <w:color w:val="002060"/>
        </w:rPr>
      </w:pPr>
      <w:r w:rsidRPr="00A03778">
        <w:rPr>
          <w:color w:val="002060"/>
        </w:rPr>
        <w:t>Nội dung, phương pháp và các thủ tục kiểm toán NHCSXH về căn bản được thực hiện như các NHTM, tuy nhiên do tính chất đặc thù của hoạt động tín dụng nhằm vào các đối tượng được hưởng chính sách xã hội của Nhà nước, nên khi thực hiện kiểm toán cần xem xét và đối chiếu với các văn bản pháp lý quy định hiện hành của Nhà nước, của ngành để có kết luận xác đáng.</w:t>
      </w:r>
      <w:r w:rsidR="00561B1E">
        <w:rPr>
          <w:color w:val="002060"/>
        </w:rPr>
        <w:t xml:space="preserve"> </w:t>
      </w:r>
      <w:r w:rsidRPr="00A03778">
        <w:rPr>
          <w:color w:val="002060"/>
        </w:rPr>
        <w:t>Phụ lục này hướng dẫn một số thủ tục kiểm toán các hoạt động đặc thù của NHCSXH.</w:t>
      </w:r>
    </w:p>
    <w:p w:rsidR="00420D4C" w:rsidRPr="00A03778" w:rsidRDefault="00420D4C" w:rsidP="00A03778">
      <w:pPr>
        <w:spacing w:line="360" w:lineRule="atLeast"/>
        <w:ind w:firstLine="720"/>
        <w:contextualSpacing/>
        <w:jc w:val="both"/>
        <w:rPr>
          <w:b/>
          <w:color w:val="002060"/>
        </w:rPr>
      </w:pPr>
      <w:r w:rsidRPr="00A03778">
        <w:rPr>
          <w:b/>
          <w:color w:val="002060"/>
        </w:rPr>
        <w:t xml:space="preserve">   </w:t>
      </w:r>
    </w:p>
    <w:p w:rsidR="00420D4C" w:rsidRPr="00561B1E" w:rsidRDefault="00420D4C" w:rsidP="00A03778">
      <w:pPr>
        <w:spacing w:line="360" w:lineRule="atLeast"/>
        <w:ind w:firstLine="720"/>
        <w:contextualSpacing/>
        <w:rPr>
          <w:b/>
          <w:color w:val="002060"/>
        </w:rPr>
      </w:pPr>
      <w:r w:rsidRPr="00561B1E">
        <w:rPr>
          <w:b/>
          <w:color w:val="002060"/>
        </w:rPr>
        <w:t>I . CHO VAY GIẢI QUYẾT VIỆC LÀM (GQVL)</w:t>
      </w:r>
    </w:p>
    <w:p w:rsidR="00420D4C" w:rsidRPr="00A03778" w:rsidRDefault="00420D4C" w:rsidP="00A03778">
      <w:pPr>
        <w:spacing w:line="360" w:lineRule="atLeast"/>
        <w:ind w:firstLine="720"/>
        <w:contextualSpacing/>
        <w:jc w:val="both"/>
        <w:rPr>
          <w:b/>
          <w:i/>
          <w:color w:val="002060"/>
        </w:rPr>
      </w:pPr>
      <w:r w:rsidRPr="00A03778">
        <w:rPr>
          <w:b/>
          <w:i/>
          <w:color w:val="002060"/>
        </w:rPr>
        <w:t>1. Kiểm tra tính đầy đủ của hồ sơ tín dụng</w:t>
      </w:r>
    </w:p>
    <w:p w:rsidR="00420D4C" w:rsidRPr="00A03778" w:rsidRDefault="00420D4C" w:rsidP="00A03778">
      <w:pPr>
        <w:spacing w:line="360" w:lineRule="atLeast"/>
        <w:ind w:firstLine="720"/>
        <w:contextualSpacing/>
        <w:jc w:val="both"/>
        <w:rPr>
          <w:color w:val="002060"/>
          <w:spacing w:val="-4"/>
        </w:rPr>
      </w:pPr>
      <w:r w:rsidRPr="00A03778">
        <w:rPr>
          <w:color w:val="002060"/>
          <w:spacing w:val="-4"/>
        </w:rPr>
        <w:t xml:space="preserve">Việc kiểm tra hồ sơ trước hết phải xem xét tính đầy đủ về số lượng danh mục tài liệu, về nội dung ghi chép trên các mẫu văn bản giấy tờ theo quy định như đã nêu trên. </w:t>
      </w:r>
    </w:p>
    <w:p w:rsidR="00420D4C" w:rsidRPr="00A03778" w:rsidRDefault="00420D4C" w:rsidP="00A03778">
      <w:pPr>
        <w:spacing w:line="360" w:lineRule="atLeast"/>
        <w:ind w:firstLine="720"/>
        <w:contextualSpacing/>
        <w:jc w:val="both"/>
        <w:rPr>
          <w:b/>
          <w:i/>
          <w:color w:val="002060"/>
        </w:rPr>
      </w:pPr>
      <w:r w:rsidRPr="00A03778">
        <w:rPr>
          <w:b/>
          <w:i/>
          <w:color w:val="002060"/>
        </w:rPr>
        <w:t>2. Kiểm tra "chất lượng" hồ sơ tín dụng</w:t>
      </w:r>
      <w:r w:rsidRPr="00A03778">
        <w:rPr>
          <w:i/>
          <w:color w:val="002060"/>
        </w:rPr>
        <w:t>( Qui trình thủ tục cho vay, công tác kiểm tra trước, trong và sau khi cho vay):</w:t>
      </w:r>
      <w:r w:rsidRPr="00A03778">
        <w:rPr>
          <w:b/>
          <w:i/>
          <w:color w:val="002060"/>
        </w:rPr>
        <w:t xml:space="preserve"> </w:t>
      </w:r>
    </w:p>
    <w:p w:rsidR="00420D4C" w:rsidRPr="00A03778" w:rsidRDefault="00420D4C" w:rsidP="00A03778">
      <w:pPr>
        <w:spacing w:line="360" w:lineRule="atLeast"/>
        <w:ind w:firstLine="720"/>
        <w:contextualSpacing/>
        <w:jc w:val="both"/>
        <w:rPr>
          <w:color w:val="002060"/>
        </w:rPr>
      </w:pPr>
      <w:r w:rsidRPr="00A03778">
        <w:rPr>
          <w:color w:val="002060"/>
        </w:rPr>
        <w:t>- Tên và chữ ký: Đối chiếu chữ ký của một người trên các văn bản khác nhau xem có đúng là cùng một người ký (ví dụ như tên, chữ ký của người vay trên HĐTD, trên giấy nhận nợ, trên hợp đồng thế chấp, cầm cố tài sản hay trên các giấy tờ chứng nhận quyền sở hữu, sử dụng tài sản đem cầm cố, thế chấp có giống nhau không). Thẩm quyền của người ký có đúng quy định.</w:t>
      </w:r>
    </w:p>
    <w:p w:rsidR="00420D4C" w:rsidRPr="00A03778" w:rsidRDefault="00420D4C" w:rsidP="00A03778">
      <w:pPr>
        <w:spacing w:line="360" w:lineRule="atLeast"/>
        <w:ind w:firstLine="720"/>
        <w:contextualSpacing/>
        <w:jc w:val="both"/>
        <w:rPr>
          <w:color w:val="002060"/>
        </w:rPr>
      </w:pPr>
      <w:r w:rsidRPr="00A03778">
        <w:rPr>
          <w:color w:val="002060"/>
        </w:rPr>
        <w:t>- Thời gian: Xem xét tính phù hợp về mặt thời gian trên các văn bản khác nhau (ví dụ như ngày trên phiếu thẩm định, trên quyết định cho vay, trên HĐTD có phù hợp với nhau; ngày trên phiếu thẩm định không thể sau ngày trên quyết định cho vay; hay thời gian chuyển nợ quá hạn trên phụ lục HĐTD có phù hợp với thời gian của kỳ trả nợ; thời gian thu lãi, thu nợ có đúng với HĐTD đã ký;...).</w:t>
      </w:r>
    </w:p>
    <w:p w:rsidR="00420D4C" w:rsidRPr="00A03778" w:rsidRDefault="00420D4C" w:rsidP="00A03778">
      <w:pPr>
        <w:spacing w:line="360" w:lineRule="atLeast"/>
        <w:ind w:firstLine="720"/>
        <w:contextualSpacing/>
        <w:jc w:val="both"/>
        <w:rPr>
          <w:color w:val="002060"/>
        </w:rPr>
      </w:pPr>
      <w:r w:rsidRPr="00A03778">
        <w:rPr>
          <w:color w:val="002060"/>
        </w:rPr>
        <w:t>- Số tiền vay, lãi suất: Kiểm tra sự phù hợp với từng loại đối tượng vay theo đúng quy định. Đối với món vay phải có TSTC thì so sánh số tiền vay với giá trị tài sản cầm cố thế chấp có phù hợp với nhau.</w:t>
      </w:r>
    </w:p>
    <w:p w:rsidR="00420D4C" w:rsidRPr="00A03778" w:rsidRDefault="00420D4C" w:rsidP="00A03778">
      <w:pPr>
        <w:spacing w:line="360" w:lineRule="atLeast"/>
        <w:ind w:firstLine="720"/>
        <w:contextualSpacing/>
        <w:jc w:val="both"/>
        <w:rPr>
          <w:color w:val="002060"/>
        </w:rPr>
      </w:pPr>
      <w:r w:rsidRPr="00A03778">
        <w:rPr>
          <w:color w:val="002060"/>
        </w:rPr>
        <w:t xml:space="preserve">- Với dự án vay vốn: Việc xem xét hiệu quả kinh tế của dự án phải xem xét một cách tương đối về sự phù hợp giữa chi phí và lợi nhuận của dự án, đặc biệt phải căn cứ vào thực tế của nghành nghề mà dự án tham gia vay vốn, thời điểm, thời gian tiến hành dự án và chu kỳ SXKD của sản phẩm; phải kiểm tra tính thực tế, hợp lý của các tài liệu </w:t>
      </w:r>
      <w:r w:rsidRPr="00A03778">
        <w:rPr>
          <w:color w:val="002060"/>
        </w:rPr>
        <w:lastRenderedPageBreak/>
        <w:t xml:space="preserve">bằng chứng làm cơ sở chứng minh tính hiệu quả, khả thi của dự án vay vốn. Nếu chỉ là kiểm tra trên hồ sơ rất khó có thể đưa ra một kết luận tương đối chính xác về vấn đề này. Vì vậy, cần kết hợp kiểm tra thực tế hoạt động của dự án để phát hiện dự án không có thực hoặc khách hàng sử dụng vốn vay không đúng mục đích. </w:t>
      </w:r>
    </w:p>
    <w:p w:rsidR="00420D4C" w:rsidRPr="00A03778" w:rsidRDefault="00420D4C" w:rsidP="00A03778">
      <w:pPr>
        <w:spacing w:line="360" w:lineRule="atLeast"/>
        <w:ind w:firstLine="720"/>
        <w:contextualSpacing/>
        <w:jc w:val="both"/>
        <w:rPr>
          <w:color w:val="002060"/>
        </w:rPr>
      </w:pPr>
      <w:r w:rsidRPr="00A03778">
        <w:rPr>
          <w:color w:val="002060"/>
        </w:rPr>
        <w:t>- Đối với các giấy tờ liên quan đến tài sản cầm cố, thế chấp (nếu có): Xem xem đó có phải là bản gốc. Việc định giá tài sản cầm cố, thế chấp có phù hợp với giá trị còn lại của tài sản, với giá cả thị trường tại thời điểm cầm cố, thế chấp.</w:t>
      </w:r>
    </w:p>
    <w:p w:rsidR="00420D4C" w:rsidRPr="00A03778" w:rsidRDefault="00420D4C" w:rsidP="00A03778">
      <w:pPr>
        <w:spacing w:line="360" w:lineRule="atLeast"/>
        <w:ind w:firstLine="720"/>
        <w:contextualSpacing/>
        <w:jc w:val="both"/>
        <w:rPr>
          <w:color w:val="002060"/>
        </w:rPr>
      </w:pPr>
      <w:r w:rsidRPr="00A03778">
        <w:rPr>
          <w:color w:val="002060"/>
        </w:rPr>
        <w:t>- Kiểm tra việc việc thu nợ ( gốc, lãi): Khách hàng có trả gốc, lãi theo phân kỳ đã cam kết trong hợp đồng tín dụng không, việc tính lãi có đầy đủ không, lãi suất có tuân thủ các quy định của Nhà nước không?</w:t>
      </w:r>
    </w:p>
    <w:p w:rsidR="00420D4C" w:rsidRPr="00A03778" w:rsidRDefault="00420D4C" w:rsidP="00A03778">
      <w:pPr>
        <w:spacing w:line="360" w:lineRule="atLeast"/>
        <w:ind w:firstLine="720"/>
        <w:contextualSpacing/>
        <w:jc w:val="both"/>
        <w:rPr>
          <w:color w:val="002060"/>
        </w:rPr>
      </w:pPr>
      <w:r w:rsidRPr="00A03778">
        <w:rPr>
          <w:color w:val="002060"/>
        </w:rPr>
        <w:t>Kiểm tra việc gia hạn nợ hoặc điều chỉnh kỳ hạn trả nợ, lý do có phù hợp không, thời gian gia hạn nợ và điều chỉnh kỳ hạn nợ có phù hợp với chu kỳ sản xuất kinh doanh, chu kỳ ngân quỹ của khách hàng không.</w:t>
      </w:r>
    </w:p>
    <w:p w:rsidR="00420D4C" w:rsidRPr="00A03778" w:rsidRDefault="00420D4C" w:rsidP="00A03778">
      <w:pPr>
        <w:spacing w:line="360" w:lineRule="atLeast"/>
        <w:ind w:firstLine="720"/>
        <w:contextualSpacing/>
        <w:jc w:val="both"/>
        <w:rPr>
          <w:color w:val="002060"/>
        </w:rPr>
      </w:pPr>
      <w:r w:rsidRPr="00A03778">
        <w:rPr>
          <w:b/>
          <w:color w:val="002060"/>
        </w:rPr>
        <w:t>3. Các văn bản Quy phạm pháp luật điều chỉnh về cho vay GQVL</w:t>
      </w:r>
    </w:p>
    <w:p w:rsidR="00420D4C" w:rsidRPr="00A03778" w:rsidRDefault="00420D4C" w:rsidP="00A03778">
      <w:pPr>
        <w:spacing w:line="360" w:lineRule="atLeast"/>
        <w:ind w:firstLine="720"/>
        <w:jc w:val="both"/>
        <w:rPr>
          <w:color w:val="002060"/>
        </w:rPr>
      </w:pPr>
      <w:r w:rsidRPr="00A03778">
        <w:rPr>
          <w:color w:val="002060"/>
        </w:rPr>
        <w:t>+ Quyết định Số 71/2005/QĐ-TTg  của Thủ tướng ngày 05/4/2005 về Về cơ chế quản lý, điều hành vốn cho vay của Quỹ quốc gia về việc làm.</w:t>
      </w:r>
    </w:p>
    <w:p w:rsidR="00420D4C" w:rsidRPr="00A03778" w:rsidRDefault="00420D4C" w:rsidP="00A03778">
      <w:pPr>
        <w:spacing w:line="360" w:lineRule="atLeast"/>
        <w:ind w:firstLine="720"/>
        <w:jc w:val="both"/>
        <w:rPr>
          <w:color w:val="002060"/>
        </w:rPr>
      </w:pPr>
      <w:r w:rsidRPr="00A03778">
        <w:rPr>
          <w:color w:val="002060"/>
        </w:rPr>
        <w:t>+ Quyết định Số 15/2008/QĐ-TTg  của Thủ tướng ngày 23/1/2008 về bổ sung một số Điều của  Quyết định Số 71/2005/QĐ-TTg  của Thủ tướng ngày 05/4/2005 về Về cơ chế quản lý, điều hành vốn cho vay của Quỹ quốc gia về việc làm.</w:t>
      </w:r>
    </w:p>
    <w:p w:rsidR="00420D4C" w:rsidRPr="00A03778" w:rsidRDefault="00420D4C" w:rsidP="00A03778">
      <w:pPr>
        <w:spacing w:line="360" w:lineRule="atLeast"/>
        <w:ind w:firstLine="720"/>
        <w:contextualSpacing/>
        <w:jc w:val="both"/>
        <w:rPr>
          <w:color w:val="002060"/>
        </w:rPr>
      </w:pPr>
      <w:r w:rsidRPr="00A03778">
        <w:rPr>
          <w:color w:val="002060"/>
        </w:rPr>
        <w:t>+ Nghị định số 61/2015/NĐ-CP của Chính phủ ngày 09/7/2015 quy định về chính sách hỗ trợ về việc làm và quỹ Quốc gia về việc làm.</w:t>
      </w:r>
    </w:p>
    <w:p w:rsidR="00420D4C" w:rsidRPr="00A03778" w:rsidRDefault="00420D4C" w:rsidP="00A03778">
      <w:pPr>
        <w:spacing w:line="360" w:lineRule="atLeast"/>
        <w:ind w:firstLine="720"/>
        <w:contextualSpacing/>
        <w:jc w:val="both"/>
        <w:rPr>
          <w:b/>
          <w:color w:val="002060"/>
        </w:rPr>
      </w:pPr>
      <w:r w:rsidRPr="00A03778">
        <w:rPr>
          <w:b/>
          <w:color w:val="002060"/>
        </w:rPr>
        <w:t>4. Một số lưu ý về cho vay GQVL</w:t>
      </w:r>
    </w:p>
    <w:p w:rsidR="00420D4C" w:rsidRPr="00A03778" w:rsidRDefault="00420D4C" w:rsidP="00A03778">
      <w:pPr>
        <w:spacing w:line="360" w:lineRule="atLeast"/>
        <w:ind w:firstLine="720"/>
        <w:contextualSpacing/>
        <w:jc w:val="both"/>
        <w:rPr>
          <w:b/>
          <w:i/>
          <w:color w:val="002060"/>
        </w:rPr>
      </w:pPr>
      <w:r w:rsidRPr="00A03778">
        <w:rPr>
          <w:b/>
          <w:i/>
          <w:color w:val="002060"/>
        </w:rPr>
        <w:t>4.1. Cho vay đối với các Hợp tác xã (HTX) nông nghiệp</w:t>
      </w:r>
    </w:p>
    <w:p w:rsidR="00420D4C" w:rsidRPr="00A03778" w:rsidRDefault="00420D4C" w:rsidP="00A03778">
      <w:pPr>
        <w:spacing w:line="360" w:lineRule="atLeast"/>
        <w:ind w:firstLine="720"/>
        <w:contextualSpacing/>
        <w:jc w:val="both"/>
        <w:rPr>
          <w:color w:val="002060"/>
          <w:spacing w:val="-4"/>
        </w:rPr>
      </w:pPr>
      <w:r w:rsidRPr="00A03778">
        <w:rPr>
          <w:color w:val="002060"/>
          <w:spacing w:val="-4"/>
        </w:rPr>
        <w:t>Theo thông tư 06/2002/TTLT-BLĐTBXH-BTC-BKHĐT ngày 10/4/2002 về hướng dẫn cơ chế quản lý quỹ quốc gia hỗ trợ việc làm và lập quỹ GQVL địa phương cũng như văn bản hướng dẫn nghiệp vụ của NHCSXH về cho vay vốn để GQVL thì hợp tác xã nông nghiệp không thuộc đối tượng cho vay của quỹ quốc gia hỗ trợ việc làm.</w:t>
      </w:r>
    </w:p>
    <w:p w:rsidR="00420D4C" w:rsidRPr="00A03778" w:rsidRDefault="00420D4C" w:rsidP="00A03778">
      <w:pPr>
        <w:spacing w:line="360" w:lineRule="atLeast"/>
        <w:ind w:firstLine="720"/>
        <w:contextualSpacing/>
        <w:jc w:val="both"/>
        <w:rPr>
          <w:color w:val="002060"/>
        </w:rPr>
      </w:pPr>
      <w:r w:rsidRPr="00A03778">
        <w:rPr>
          <w:color w:val="002060"/>
        </w:rPr>
        <w:t>Theo Quyết định số 71/2005/QĐ-TTg ngày 05/04/2005 về cơ chế quản lý, điều hành vốn cho vay của quỹ quốc gia về việc làm có quy định về đối tượng được vay vốn bao gồm cả hợp tác xã hoạt động theo Luật Hợp tác xã. Quyết định số 71/2005/QĐ-TTg này đã bãi bỏ Thông tư 06/2002/TTLT-BLĐTBXH-BTC-BKHĐT.</w:t>
      </w:r>
    </w:p>
    <w:p w:rsidR="00420D4C" w:rsidRPr="00A03778" w:rsidRDefault="00420D4C" w:rsidP="00A03778">
      <w:pPr>
        <w:spacing w:line="360" w:lineRule="atLeast"/>
        <w:ind w:firstLine="720"/>
        <w:contextualSpacing/>
        <w:jc w:val="both"/>
        <w:rPr>
          <w:color w:val="002060"/>
        </w:rPr>
      </w:pPr>
      <w:r w:rsidRPr="00A03778">
        <w:rPr>
          <w:color w:val="002060"/>
        </w:rPr>
        <w:t>Như vậy, hiện nay NHCSXH được phép cho vay HTX nông nghiệp.</w:t>
      </w:r>
    </w:p>
    <w:p w:rsidR="00420D4C" w:rsidRPr="00A03778" w:rsidRDefault="00420D4C" w:rsidP="00A03778">
      <w:pPr>
        <w:spacing w:line="360" w:lineRule="atLeast"/>
        <w:ind w:firstLine="720"/>
        <w:contextualSpacing/>
        <w:jc w:val="both"/>
        <w:rPr>
          <w:b/>
          <w:i/>
          <w:color w:val="002060"/>
        </w:rPr>
      </w:pPr>
      <w:r w:rsidRPr="00A03778">
        <w:rPr>
          <w:b/>
          <w:i/>
          <w:color w:val="002060"/>
        </w:rPr>
        <w:t>4.2. Cho vay hộ nghèo, cho vay QVL</w:t>
      </w:r>
    </w:p>
    <w:p w:rsidR="00420D4C" w:rsidRPr="00A03778" w:rsidRDefault="00420D4C" w:rsidP="00A03778">
      <w:pPr>
        <w:spacing w:line="360" w:lineRule="atLeast"/>
        <w:ind w:firstLine="720"/>
        <w:contextualSpacing/>
        <w:jc w:val="both"/>
        <w:rPr>
          <w:color w:val="002060"/>
        </w:rPr>
      </w:pPr>
      <w:r w:rsidRPr="00A03778">
        <w:rPr>
          <w:color w:val="002060"/>
        </w:rPr>
        <w:t xml:space="preserve"> Hộ nghèo SXKD đủ các điều kiện theo quy định thì giải quyết cho vay hộ nghèo hay cho vay QGVL. Nếu họ ở trong vùng nghèo (là đối tượng của chương trình 135):</w:t>
      </w:r>
    </w:p>
    <w:p w:rsidR="00420D4C" w:rsidRPr="00A03778" w:rsidRDefault="00420D4C" w:rsidP="00A03778">
      <w:pPr>
        <w:spacing w:line="360" w:lineRule="atLeast"/>
        <w:ind w:firstLine="720"/>
        <w:contextualSpacing/>
        <w:jc w:val="both"/>
        <w:rPr>
          <w:color w:val="002060"/>
        </w:rPr>
      </w:pPr>
      <w:r w:rsidRPr="00A03778">
        <w:rPr>
          <w:color w:val="002060"/>
        </w:rPr>
        <w:t>- Đối tượng cho vay GQVL quy định trong các văn bản liên quan gồm có hộ gia đình, không phân biệt hộ gia đình nghèo hay không nghèo, miễn là đáp ứng đủ các điều kiện theo quy định. Nếu họ cũng có đủ các điều kiện của cho vay hộ nghèo thì họ được phép vay ở cả 2 hình thức trên.Vì mục tiêu trực tiếp của cho vay GQVL và cho vay hộ nghèo là khác nhau.</w:t>
      </w:r>
    </w:p>
    <w:p w:rsidR="00420D4C" w:rsidRPr="00A03778" w:rsidRDefault="00420D4C" w:rsidP="00A03778">
      <w:pPr>
        <w:spacing w:line="360" w:lineRule="atLeast"/>
        <w:ind w:firstLine="720"/>
        <w:contextualSpacing/>
        <w:jc w:val="both"/>
        <w:rPr>
          <w:color w:val="002060"/>
        </w:rPr>
      </w:pPr>
      <w:r w:rsidRPr="00A03778">
        <w:rPr>
          <w:color w:val="002060"/>
        </w:rPr>
        <w:t xml:space="preserve">- Trong trường hợp họ ở trong vùng nghèo thì vẫn có thể cho vay bằng nguồn vốn cho vay GQVL. Vì theo mục d, khoản 2, Điều 2 của Quyết định số 135/1998/QĐ-TTg ngày 31/7/1998 phê duyệt chương trình phát triển kinh tế - xã hội các xã đặc biệt khó khăn miền núi và vùng sâu, vùng xa (sau này hợp nhất với một số quyết định khác thành Quyết định số 138/2000/QĐ-TTg ngày 29/11/2000 của Thủ tướng Chính phủ. Chương trình phát triển kinh tế xã hội các xã đặc biệt khó khăn miền núi, vùng đồng bào dân tộc miền núi, biên giới và vùng sâu, vùng xa có quy định: Các chương trình mục tiêu quốc gia và chương trình khác có liên quan trên địa bàn phải dành phần ưu tiên đầu tư cho chương trình này. Các hộ gia đình thuộc phạm vi chương trình được ưu tiên vay vốn từ Ngân hàng người nghèo (sau này là NHCSXH) và các nguồn vốn tín dụng ưu đãi khác để phát triển sản xuất... </w:t>
      </w:r>
    </w:p>
    <w:p w:rsidR="00420D4C" w:rsidRPr="00A03778" w:rsidRDefault="00420D4C" w:rsidP="00A03778">
      <w:pPr>
        <w:spacing w:line="360" w:lineRule="atLeast"/>
        <w:ind w:firstLine="720"/>
        <w:contextualSpacing/>
        <w:jc w:val="both"/>
        <w:rPr>
          <w:b/>
          <w:i/>
          <w:color w:val="002060"/>
          <w:spacing w:val="-12"/>
        </w:rPr>
      </w:pPr>
      <w:r w:rsidRPr="00A03778">
        <w:rPr>
          <w:b/>
          <w:i/>
          <w:color w:val="002060"/>
          <w:spacing w:val="-12"/>
        </w:rPr>
        <w:t xml:space="preserve">4.3.  Phương pháp xử lí các tình huống phát sinh cho vay hộ nghèo, cho vay GQVL   </w:t>
      </w:r>
    </w:p>
    <w:p w:rsidR="00420D4C" w:rsidRPr="00A03778" w:rsidRDefault="00420D4C" w:rsidP="00A03778">
      <w:pPr>
        <w:spacing w:line="360" w:lineRule="atLeast"/>
        <w:ind w:firstLine="720"/>
        <w:contextualSpacing/>
        <w:jc w:val="both"/>
        <w:rPr>
          <w:i/>
          <w:color w:val="002060"/>
        </w:rPr>
      </w:pPr>
      <w:r w:rsidRPr="00A03778">
        <w:rPr>
          <w:i/>
          <w:color w:val="002060"/>
        </w:rPr>
        <w:t>4.3.1. Trường hợp hộ nghèo còn dư nợ tại các TCTD khác</w:t>
      </w:r>
    </w:p>
    <w:p w:rsidR="00420D4C" w:rsidRPr="00A03778" w:rsidRDefault="00420D4C" w:rsidP="00A03778">
      <w:pPr>
        <w:spacing w:line="360" w:lineRule="atLeast"/>
        <w:ind w:firstLine="720"/>
        <w:contextualSpacing/>
        <w:jc w:val="both"/>
        <w:rPr>
          <w:color w:val="002060"/>
        </w:rPr>
      </w:pPr>
      <w:r w:rsidRPr="00A03778">
        <w:rPr>
          <w:color w:val="002060"/>
        </w:rPr>
        <w:t>Điều kiện vay vốn của cho vay GQVL trong các văn bản trước và văn bản mới nhất hiện nay là Quyết định số 71/QĐ-TTg không có quy định đối tượng vay không còn dư nợ tại các TCTD khác. Hơn nữa, về mặt chính sách của Nhà nước, NHCSXH cho vay theo mục tiêu của Chính phủ, chính quyền địa phương... và hoạt động không vì mục tiêu lợi nhuận, vì vậy ngay cả khi đối tượng vay còn dư nợ tại các TCTD khác nhưng vẫn đủ điều kiện theo quy định thì NHCSXH vẫn cho vay. Hơn nữa việc ra quyết định cho vay không phải do NHCSXH quyết định. Vấn đề quan trọng là phải theo dõi việc sử dụng vốn vay đúng mục đích, hoạt động có hiệu quả, giải quyết được việc làm theo mục tiêu của chương trình cho vay GQVL, tránh trường hợp vay của NHCSXH để trả cho TCTD khác.</w:t>
      </w:r>
    </w:p>
    <w:p w:rsidR="00420D4C" w:rsidRPr="00A03778" w:rsidRDefault="00420D4C" w:rsidP="00A03778">
      <w:pPr>
        <w:spacing w:line="360" w:lineRule="atLeast"/>
        <w:ind w:firstLine="720"/>
        <w:contextualSpacing/>
        <w:jc w:val="both"/>
        <w:rPr>
          <w:color w:val="002060"/>
        </w:rPr>
      </w:pPr>
      <w:r w:rsidRPr="00A03778">
        <w:rPr>
          <w:i/>
          <w:color w:val="002060"/>
        </w:rPr>
        <w:t>4.3.2. Đối với những chủ dự án (chủ hộ đối với cho vay nhóm hộ) trên 60 tuổi</w:t>
      </w:r>
      <w:r w:rsidRPr="00A03778">
        <w:rPr>
          <w:color w:val="002060"/>
        </w:rPr>
        <w:tab/>
        <w:t xml:space="preserve">Hiện chưa có những quy định về độ tuổi đối với các chủ dự án, vì vậyNHCSXH vẫn có thể cho vay đối với các dự án có chủ dự án trên 60 tuổi, nếu dự án có tính khả thi cao và đủ điều kiện vay vốn.  </w:t>
      </w:r>
    </w:p>
    <w:p w:rsidR="00420D4C" w:rsidRPr="00A03778" w:rsidRDefault="00420D4C" w:rsidP="00A03778">
      <w:pPr>
        <w:spacing w:line="360" w:lineRule="atLeast"/>
        <w:ind w:firstLine="720"/>
        <w:contextualSpacing/>
        <w:jc w:val="both"/>
        <w:rPr>
          <w:color w:val="002060"/>
        </w:rPr>
      </w:pPr>
      <w:r w:rsidRPr="00A03778">
        <w:rPr>
          <w:color w:val="002060"/>
        </w:rPr>
        <w:t xml:space="preserve">Đối với dự án nhóm hộ gia đình vay nếu chủ hộ trên 60 tuổi vẫn đứng tên vay. NHCSXH có thể xem xét khả năng thực tế của chủ hộ về mục đích vay vốn, phương án kinh doanh, khả năng trả nợ cũng như các yếu tố thừa kế của chủ hộ để quyết định cho vay cho phù hợp. </w:t>
      </w:r>
    </w:p>
    <w:p w:rsidR="00420D4C" w:rsidRPr="00A03778" w:rsidRDefault="00420D4C" w:rsidP="00A03778">
      <w:pPr>
        <w:spacing w:line="360" w:lineRule="atLeast"/>
        <w:ind w:firstLine="720"/>
        <w:contextualSpacing/>
        <w:jc w:val="both"/>
        <w:rPr>
          <w:i/>
          <w:color w:val="002060"/>
        </w:rPr>
      </w:pPr>
      <w:r w:rsidRPr="00A03778">
        <w:rPr>
          <w:i/>
          <w:color w:val="002060"/>
        </w:rPr>
        <w:t>4.3.3. Hộ độc thân chưa có người thừa kế</w:t>
      </w:r>
    </w:p>
    <w:p w:rsidR="00420D4C" w:rsidRPr="00A03778" w:rsidRDefault="00420D4C" w:rsidP="00A03778">
      <w:pPr>
        <w:spacing w:line="360" w:lineRule="atLeast"/>
        <w:ind w:firstLine="720"/>
        <w:contextualSpacing/>
        <w:jc w:val="both"/>
        <w:rPr>
          <w:color w:val="002060"/>
        </w:rPr>
      </w:pPr>
      <w:r w:rsidRPr="00A03778">
        <w:rPr>
          <w:color w:val="002060"/>
        </w:rPr>
        <w:t>Khác với cho vay đối tượng chính sách đi lao động có thời hạn ở nước ngoài, trường hợp cho vay GQVL chưa có quy định vấn đề này. Tuy nhiên căn cứ vào mục tiêu của chương trình quốc gia về GQVL, đối với hộ độc thân, nếu dự án có tính khả thi cao và mục tiêu tạo việc làm mới được đáp ứng thì có thể giải quyết cho vay.</w:t>
      </w:r>
    </w:p>
    <w:p w:rsidR="00420D4C" w:rsidRPr="00A03778" w:rsidRDefault="00420D4C" w:rsidP="00A03778">
      <w:pPr>
        <w:spacing w:line="360" w:lineRule="atLeast"/>
        <w:ind w:firstLine="720"/>
        <w:contextualSpacing/>
        <w:jc w:val="both"/>
        <w:rPr>
          <w:i/>
          <w:color w:val="002060"/>
        </w:rPr>
      </w:pPr>
      <w:r w:rsidRPr="00A03778">
        <w:rPr>
          <w:i/>
          <w:color w:val="002060"/>
        </w:rPr>
        <w:t>4.3.4. Cơ sở SXKD có nhiều dự án vay vốn, mỗi dự án đều đủ điều kiện vay vốn theo quy định</w:t>
      </w:r>
    </w:p>
    <w:p w:rsidR="00420D4C" w:rsidRPr="00A03778" w:rsidRDefault="00420D4C" w:rsidP="00A03778">
      <w:pPr>
        <w:spacing w:line="360" w:lineRule="atLeast"/>
        <w:ind w:firstLine="720"/>
        <w:contextualSpacing/>
        <w:jc w:val="both"/>
        <w:rPr>
          <w:color w:val="002060"/>
        </w:rPr>
      </w:pPr>
      <w:r w:rsidRPr="00A03778">
        <w:rPr>
          <w:color w:val="002060"/>
        </w:rPr>
        <w:t>Trong các văn bản điều chỉnh chỉ quy định mức vốn vay tối đa đối với một dự án là 500 triệu đồng, một hộ gia đình là 20 triệu đồng. Không cấm một cơ sở SXKD được vay cho nhiều dự án. (Ở đây vấn đề quan trọng là trong khâu thẩm định phải xét xem, liệu một cơ sở SXKD có nhiều dự án thì tính khả thi được đánh giá thế nào cho hợp lý, đặc biệt là về khả năng quản lý. Hay như nếu sản phẩm của các dự án của cùng một cơ sở SXKD là giống nhau hoặc mỗi dự án chỉ là một khâu của quá trình SXKD một loại sản phẩm. Tránh trường hợp chia nhỏ một dự án thành nhiều dự án để được vay nhiều vốn từ quỹ GQVL).</w:t>
      </w:r>
    </w:p>
    <w:p w:rsidR="00420D4C" w:rsidRPr="00A03778" w:rsidRDefault="00420D4C" w:rsidP="00A03778">
      <w:pPr>
        <w:spacing w:line="360" w:lineRule="atLeast"/>
        <w:ind w:firstLine="720"/>
        <w:contextualSpacing/>
        <w:jc w:val="both"/>
        <w:rPr>
          <w:i/>
          <w:color w:val="002060"/>
        </w:rPr>
      </w:pPr>
      <w:r w:rsidRPr="00A03778">
        <w:rPr>
          <w:i/>
          <w:color w:val="002060"/>
        </w:rPr>
        <w:t>4.3.5. Trong dự án nhóm hộ gia đình, khi một số hộ gặp khó khăn không có khả năng trả nợ đúng hạn thì chủ dự án làm đơn gia hạn hay hộ gia đình trực tiếp vay vốn làm đơn gia hạn nợ vay</w:t>
      </w:r>
    </w:p>
    <w:p w:rsidR="00420D4C" w:rsidRPr="00A03778" w:rsidRDefault="00420D4C" w:rsidP="00A03778">
      <w:pPr>
        <w:spacing w:line="360" w:lineRule="atLeast"/>
        <w:ind w:firstLine="720"/>
        <w:contextualSpacing/>
        <w:jc w:val="both"/>
        <w:rPr>
          <w:color w:val="002060"/>
        </w:rPr>
      </w:pPr>
      <w:r w:rsidRPr="00A03778">
        <w:rPr>
          <w:color w:val="002060"/>
        </w:rPr>
        <w:t>Hộ gia đình trực tiếp vay làm đơn gia hạn nợ. Vì ngay cả đối với dự án nhóm hộ gia đình thì hộ gia đình trực tiếp vay vốn là người làm giấy đề nghị vay vốn, ký HĐTD với Ngân hàng. Trách nhiệm trả nợ cũng là của hộ gia đình. Chủ dự án chỉ có vai trò là người lập dự án, đôn đốc các thành viên sử dụng vốn vay đúng mục đích, hoàn trả tiền vốn và lãi đúng thời hạn.</w:t>
      </w:r>
    </w:p>
    <w:p w:rsidR="00420D4C" w:rsidRPr="00A03778" w:rsidRDefault="00420D4C" w:rsidP="00A03778">
      <w:pPr>
        <w:spacing w:line="360" w:lineRule="atLeast"/>
        <w:ind w:firstLine="720"/>
        <w:contextualSpacing/>
        <w:jc w:val="both"/>
        <w:rPr>
          <w:color w:val="002060"/>
        </w:rPr>
      </w:pPr>
      <w:r w:rsidRPr="00A03778">
        <w:rPr>
          <w:color w:val="002060"/>
        </w:rPr>
        <w:t>Ngân hàng có quyền quyết định có cho gia hạn nợ hay không sau khi phối hợp với cơ quan Lao động, Thương binh và Xã hội hoặc tổ chức thực hiện chương trình ở địa phương tiến hành kiểm tra, xem xét nguyên nhân xin gia hạn nợ của người vay.</w:t>
      </w:r>
    </w:p>
    <w:p w:rsidR="00420D4C" w:rsidRPr="00A03778" w:rsidRDefault="00420D4C" w:rsidP="00A03778">
      <w:pPr>
        <w:spacing w:line="360" w:lineRule="atLeast"/>
        <w:ind w:firstLine="720"/>
        <w:contextualSpacing/>
        <w:jc w:val="both"/>
        <w:rPr>
          <w:i/>
          <w:color w:val="002060"/>
        </w:rPr>
      </w:pPr>
      <w:r w:rsidRPr="00A03778">
        <w:rPr>
          <w:i/>
          <w:color w:val="002060"/>
        </w:rPr>
        <w:t>4.3.6. Phương pháp xử lí các trường hợp khi dự án đến hạn trả nợ, khách hàng chưa trả được nợ và chưa có quyết định gia hạn nợ, cho vay lại</w:t>
      </w:r>
    </w:p>
    <w:p w:rsidR="00420D4C" w:rsidRPr="00A03778" w:rsidRDefault="00420D4C" w:rsidP="00A03778">
      <w:pPr>
        <w:spacing w:line="360" w:lineRule="atLeast"/>
        <w:ind w:firstLine="720"/>
        <w:contextualSpacing/>
        <w:jc w:val="both"/>
        <w:rPr>
          <w:color w:val="002060"/>
        </w:rPr>
      </w:pPr>
      <w:r w:rsidRPr="00A03778">
        <w:rPr>
          <w:color w:val="002060"/>
        </w:rPr>
        <w:t>Thực chất của cho vay lại là dùng số tiền vay mới để trả cho khoản vay cũ của khách hàng (trong hạn hoặc đã quá hạn). Vì vậy khi có quyết định cho vay lại thì khoản nợ quá hạn của khách hàng coi như đã được trả, và khoản nợ của khách hàng với Ngân hàng lúc này chính là khoản vay lại (theo HĐTD mới, được lập lại giống như vay lần đầu), mọi vấn đề liên quan đến lãi suất, đến kỳ trả nợ, đến thời hạn trả nợ,... thực hiện theo HĐTD mới. Trong trường hợp này khoản lãi quá hạn trong khoảng thời gian từ khi chuyển nợ quá hạn đến khi có quyết định cho vay lại khách hàng vẫn phải trả đầy đủ trước khi được cho vay lại. Thông thường thủ tục xin vay lại (cũng như xin gia hạn nợ) được hoàn tất trước khi khoản nợ đến hạn một thời gian đủ để đến khi có quyết định cho vay lại thì khoản nợ đó chưa bị chuyển sang nợ quá hạn, như vậy thì khách hàng không phải trả lãi quá hạn.</w:t>
      </w:r>
    </w:p>
    <w:p w:rsidR="00420D4C" w:rsidRPr="00A03778" w:rsidRDefault="00420D4C" w:rsidP="00A03778">
      <w:pPr>
        <w:spacing w:line="360" w:lineRule="atLeast"/>
        <w:ind w:firstLine="720"/>
        <w:contextualSpacing/>
        <w:jc w:val="both"/>
        <w:rPr>
          <w:i/>
          <w:color w:val="002060"/>
        </w:rPr>
      </w:pPr>
      <w:r w:rsidRPr="00A03778">
        <w:rPr>
          <w:i/>
          <w:color w:val="002060"/>
        </w:rPr>
        <w:t>4.3.7. Phương pháp xử lí trong một dự án có một số hộ đã trả hết nợ, một số khác chưa trả nợ đã đến hạn</w:t>
      </w:r>
    </w:p>
    <w:p w:rsidR="00420D4C" w:rsidRPr="00A03778" w:rsidRDefault="00420D4C" w:rsidP="00A03778">
      <w:pPr>
        <w:spacing w:line="360" w:lineRule="atLeast"/>
        <w:ind w:firstLine="720"/>
        <w:contextualSpacing/>
        <w:jc w:val="both"/>
        <w:rPr>
          <w:color w:val="002060"/>
        </w:rPr>
      </w:pPr>
      <w:r w:rsidRPr="00A03778">
        <w:rPr>
          <w:color w:val="002060"/>
        </w:rPr>
        <w:t>Khi nhận được giấy đề nghị vay lại của những hộ này, NHCSXH tiến hành kiểm tra, xem xét lý do xin vay lại.Nếu thoả mãn các điều kiện thì có thể cho vay lại. (tuy nhiên, trong cùng một dự án, trong khi có những hộ khác cũng vay vốn để SXKD giống nhau lại trả được nợ song có hộ lại không, vì vậy việc đáp ứng được các điều kiện cho vay lại thường khó có lý giải hợp lý, thường không thoả mãn các điều kiện cho vay lại).</w:t>
      </w:r>
    </w:p>
    <w:p w:rsidR="00420D4C" w:rsidRPr="00A03778" w:rsidRDefault="00420D4C" w:rsidP="00A03778">
      <w:pPr>
        <w:spacing w:line="360" w:lineRule="atLeast"/>
        <w:ind w:firstLine="720"/>
        <w:contextualSpacing/>
        <w:jc w:val="both"/>
        <w:rPr>
          <w:i/>
          <w:color w:val="002060"/>
        </w:rPr>
      </w:pPr>
      <w:r w:rsidRPr="00A03778">
        <w:rPr>
          <w:i/>
          <w:color w:val="002060"/>
        </w:rPr>
        <w:t xml:space="preserve">4.3.8. Trách nhiệm vật chất của người, tổ chức bảo lãnh bằng tín chấp cho người vay </w:t>
      </w:r>
    </w:p>
    <w:p w:rsidR="00420D4C" w:rsidRPr="00A03778" w:rsidRDefault="00420D4C" w:rsidP="00A03778">
      <w:pPr>
        <w:spacing w:line="360" w:lineRule="atLeast"/>
        <w:ind w:firstLine="720"/>
        <w:contextualSpacing/>
        <w:jc w:val="both"/>
        <w:rPr>
          <w:color w:val="002060"/>
        </w:rPr>
      </w:pPr>
      <w:r w:rsidRPr="00A03778">
        <w:rPr>
          <w:color w:val="002060"/>
        </w:rPr>
        <w:t>Bảo lãnh bằng tín chấp của Chủ tịch Ủy ban nhân dân (UBND) cấp xã phường trở lên, của thủ trưởng cơ quan tổ chức đoàn thể, hội quần chúng ở cơ sở được thực hiện khi đối tượng vay không phải thế chấp, cầm cố tài sản. Trong trường hợp bên vay không trả được nợ khi đến hạn thì bên bảo lãnh có trách nhiệm cùng người vay tìm nguồn để trả nợ cho bên cho vay.</w:t>
      </w:r>
    </w:p>
    <w:p w:rsidR="00420D4C" w:rsidRPr="00A03778" w:rsidRDefault="00420D4C" w:rsidP="00A03778">
      <w:pPr>
        <w:spacing w:line="360" w:lineRule="atLeast"/>
        <w:ind w:firstLine="720"/>
        <w:contextualSpacing/>
        <w:jc w:val="both"/>
        <w:rPr>
          <w:i/>
          <w:color w:val="002060"/>
        </w:rPr>
      </w:pPr>
      <w:r w:rsidRPr="00A03778">
        <w:rPr>
          <w:i/>
          <w:color w:val="002060"/>
        </w:rPr>
        <w:t>4.3.9. Tổ chức hội ở xã có được bảo lãnh bằng tín chấp cho hộ vay vốn không?</w:t>
      </w:r>
    </w:p>
    <w:p w:rsidR="00420D4C" w:rsidRPr="00A03778" w:rsidRDefault="00420D4C" w:rsidP="00A03778">
      <w:pPr>
        <w:spacing w:line="360" w:lineRule="atLeast"/>
        <w:ind w:firstLine="720"/>
        <w:contextualSpacing/>
        <w:jc w:val="both"/>
        <w:rPr>
          <w:color w:val="002060"/>
        </w:rPr>
      </w:pPr>
      <w:r w:rsidRPr="00A03778">
        <w:rPr>
          <w:color w:val="002060"/>
        </w:rPr>
        <w:t>Trong văn bản có quy định Chủ tịch UBND cấp xã phường trở lên, của thủ trưởng cơ quan tổ chức đoàn thể, hội quần chúng ở cơ sở là người bảo lãnh bằng tín chấp cho một số đối tượng không phải bảo lãnh bằng tài sản.Vì vậy về mặt chế độ, tổ chức hội ở xã có thể bảo lãnh bằng tín chấp cho hộ vay vốn.</w:t>
      </w:r>
    </w:p>
    <w:p w:rsidR="00420D4C" w:rsidRPr="00561B1E" w:rsidRDefault="00420D4C" w:rsidP="00A03778">
      <w:pPr>
        <w:spacing w:line="360" w:lineRule="atLeast"/>
        <w:ind w:firstLine="720"/>
        <w:contextualSpacing/>
        <w:rPr>
          <w:b/>
          <w:color w:val="002060"/>
        </w:rPr>
      </w:pPr>
      <w:r w:rsidRPr="00561B1E">
        <w:rPr>
          <w:b/>
          <w:color w:val="002060"/>
        </w:rPr>
        <w:t>II. CHO VAY HỘ NGHÈO</w:t>
      </w:r>
    </w:p>
    <w:p w:rsidR="00420D4C" w:rsidRPr="00A03778" w:rsidRDefault="00420D4C" w:rsidP="00A03778">
      <w:pPr>
        <w:spacing w:line="360" w:lineRule="atLeast"/>
        <w:ind w:firstLine="720"/>
        <w:contextualSpacing/>
        <w:jc w:val="both"/>
        <w:rPr>
          <w:b/>
          <w:color w:val="002060"/>
        </w:rPr>
      </w:pPr>
      <w:r w:rsidRPr="00A03778">
        <w:rPr>
          <w:b/>
          <w:color w:val="002060"/>
        </w:rPr>
        <w:t>1. Thực hiện kiểm toán</w:t>
      </w:r>
    </w:p>
    <w:p w:rsidR="00420D4C" w:rsidRPr="00A03778" w:rsidRDefault="00420D4C" w:rsidP="00A03778">
      <w:pPr>
        <w:spacing w:line="360" w:lineRule="atLeast"/>
        <w:ind w:firstLine="720"/>
        <w:contextualSpacing/>
        <w:jc w:val="both"/>
        <w:rPr>
          <w:color w:val="002060"/>
        </w:rPr>
      </w:pPr>
      <w:r w:rsidRPr="00A03778">
        <w:rPr>
          <w:color w:val="002060"/>
        </w:rPr>
        <w:t>Kiểm tra tương tự như đối với cho vay GQVL trên một số tiêu chí cơ bản. Ngoài ra, đối với cho vay hộ nghèo điểm trọng yếu nhất trong quá trình kiểm toán là phải kiểm tra đối tượng vay vốn để xác nhận NHCSXH đã cho vay đúng hoặc không đúng đối tượng. Để làm việc này cần đối chiếu danh sách hộ gia đình đề nghị vay vốn với danh sách hộ nghèo theo chuẩn nghèo nhà nước quy định của xã được cơ quan có thẩm quyền quyết định; đối chiếu tên của người vay với danh sách thành viên được kết nạp vào tổ tiết kiệm và vay vốn trong biên bản thành lập tổ.</w:t>
      </w:r>
    </w:p>
    <w:p w:rsidR="00420D4C" w:rsidRPr="00A03778" w:rsidRDefault="00420D4C" w:rsidP="00A03778">
      <w:pPr>
        <w:spacing w:line="360" w:lineRule="atLeast"/>
        <w:ind w:firstLine="720"/>
        <w:contextualSpacing/>
        <w:jc w:val="both"/>
        <w:rPr>
          <w:b/>
          <w:color w:val="002060"/>
        </w:rPr>
      </w:pPr>
      <w:r w:rsidRPr="00A03778">
        <w:rPr>
          <w:b/>
          <w:color w:val="002060"/>
        </w:rPr>
        <w:t>2. Các văn bản Quy phạm pháp luật điều chỉnh về cho vay hộ nghèo</w:t>
      </w:r>
    </w:p>
    <w:p w:rsidR="00420D4C" w:rsidRPr="00A03778" w:rsidRDefault="00420D4C" w:rsidP="00A03778">
      <w:pPr>
        <w:spacing w:line="360" w:lineRule="atLeast"/>
        <w:ind w:firstLine="720"/>
        <w:jc w:val="both"/>
        <w:rPr>
          <w:color w:val="002060"/>
        </w:rPr>
      </w:pPr>
      <w:r w:rsidRPr="00A03778">
        <w:rPr>
          <w:color w:val="002060"/>
        </w:rPr>
        <w:t xml:space="preserve">+ Nghị định số </w:t>
      </w:r>
      <w:hyperlink r:id="rId7" w:history="1">
        <w:r w:rsidRPr="00A03778">
          <w:rPr>
            <w:rStyle w:val="Hyperlink"/>
            <w:color w:val="002060"/>
          </w:rPr>
          <w:t>78/2002/NĐ-CP</w:t>
        </w:r>
      </w:hyperlink>
      <w:r w:rsidRPr="00A03778">
        <w:rPr>
          <w:color w:val="002060"/>
        </w:rPr>
        <w:t xml:space="preserve"> ngày 04/10/2002 của Chính phủ về tín dụng đối với người nghèo và các đối tượng chính sách khác.</w:t>
      </w:r>
    </w:p>
    <w:p w:rsidR="00420D4C" w:rsidRPr="00A03778" w:rsidRDefault="00420D4C" w:rsidP="00A03778">
      <w:pPr>
        <w:spacing w:line="360" w:lineRule="atLeast"/>
        <w:ind w:firstLine="720"/>
        <w:contextualSpacing/>
        <w:jc w:val="both"/>
        <w:rPr>
          <w:color w:val="002060"/>
        </w:rPr>
      </w:pPr>
      <w:r w:rsidRPr="00A03778">
        <w:rPr>
          <w:color w:val="002060"/>
        </w:rPr>
        <w:t xml:space="preserve">+ Văn bản số </w:t>
      </w:r>
      <w:hyperlink r:id="rId8" w:history="1">
        <w:r w:rsidRPr="00A03778">
          <w:rPr>
            <w:rStyle w:val="Hyperlink"/>
            <w:color w:val="002060"/>
          </w:rPr>
          <w:t>316 /NHCS-KH</w:t>
        </w:r>
      </w:hyperlink>
      <w:r w:rsidRPr="00A03778">
        <w:rPr>
          <w:color w:val="002060"/>
        </w:rPr>
        <w:t xml:space="preserve"> ngày 02/5/2003 của Tổng Giám đốc NHCSXH hướng dẫn nghiệp vụ cho vay đối với hộ nghèo.</w:t>
      </w:r>
    </w:p>
    <w:p w:rsidR="00420D4C" w:rsidRPr="00A03778" w:rsidRDefault="00420D4C" w:rsidP="00A03778">
      <w:pPr>
        <w:spacing w:line="360" w:lineRule="atLeast"/>
        <w:ind w:firstLine="720"/>
        <w:contextualSpacing/>
        <w:jc w:val="both"/>
        <w:rPr>
          <w:b/>
          <w:color w:val="002060"/>
        </w:rPr>
      </w:pPr>
      <w:r w:rsidRPr="00A03778">
        <w:rPr>
          <w:b/>
          <w:color w:val="002060"/>
        </w:rPr>
        <w:t>3. Phương pháp xử lí trường hợp phát sinh khi cho vay hộ nghèo</w:t>
      </w:r>
    </w:p>
    <w:p w:rsidR="00420D4C" w:rsidRPr="00A03778" w:rsidRDefault="00420D4C" w:rsidP="00A03778">
      <w:pPr>
        <w:spacing w:line="360" w:lineRule="atLeast"/>
        <w:ind w:firstLine="720"/>
        <w:contextualSpacing/>
        <w:jc w:val="both"/>
        <w:rPr>
          <w:b/>
          <w:i/>
          <w:color w:val="002060"/>
          <w:spacing w:val="-10"/>
        </w:rPr>
      </w:pPr>
      <w:r w:rsidRPr="00A03778">
        <w:rPr>
          <w:b/>
          <w:i/>
          <w:color w:val="002060"/>
          <w:spacing w:val="-10"/>
        </w:rPr>
        <w:t>3.1. Các thành viên trong hộ gia đình nghèo đã ở riêng nhưng chưa tách hộ khẩu</w:t>
      </w:r>
    </w:p>
    <w:p w:rsidR="00420D4C" w:rsidRPr="00A03778" w:rsidRDefault="00420D4C" w:rsidP="00A03778">
      <w:pPr>
        <w:spacing w:line="360" w:lineRule="atLeast"/>
        <w:ind w:firstLine="720"/>
        <w:contextualSpacing/>
        <w:jc w:val="both"/>
        <w:rPr>
          <w:color w:val="002060"/>
        </w:rPr>
      </w:pPr>
      <w:r w:rsidRPr="00A03778">
        <w:rPr>
          <w:color w:val="002060"/>
        </w:rPr>
        <w:t>Không được vay vốn vì người ký tên vào Giấy đề nghị vay vốn cũng như Sổ tiết kiệm và vay vốn phải là chủ hộ, người đại diện về mặt pháp luật cho hộ gia đình vay vốn. Cho vay hộ nghèo là cho vay theo hộ gia đình, gia đình phải có người đại diện là chủ hộ, người đứng tên đầu tiên trong hộ khẩu gia đình. Vì vậy khi chưa tách hộ khẩu thì thành viên trong gia đình đó không thể là đại diện về mặt pháp luật cho gia đình mới của họ.</w:t>
      </w:r>
    </w:p>
    <w:p w:rsidR="00420D4C" w:rsidRPr="00A03778" w:rsidRDefault="00420D4C" w:rsidP="00A03778">
      <w:pPr>
        <w:spacing w:line="360" w:lineRule="atLeast"/>
        <w:ind w:firstLine="720"/>
        <w:contextualSpacing/>
        <w:jc w:val="both"/>
        <w:rPr>
          <w:b/>
          <w:i/>
          <w:color w:val="002060"/>
          <w:spacing w:val="-8"/>
        </w:rPr>
      </w:pPr>
      <w:r w:rsidRPr="00A03778">
        <w:rPr>
          <w:b/>
          <w:i/>
          <w:color w:val="002060"/>
          <w:spacing w:val="-8"/>
        </w:rPr>
        <w:t xml:space="preserve">3.2. Hộ đã vay vốn để SXKD rồi có được tiếp tục vay vốn để cải thiện đời sống </w:t>
      </w:r>
    </w:p>
    <w:p w:rsidR="00420D4C" w:rsidRPr="00A03778" w:rsidRDefault="00420D4C" w:rsidP="00A03778">
      <w:pPr>
        <w:spacing w:line="360" w:lineRule="atLeast"/>
        <w:ind w:firstLine="720"/>
        <w:contextualSpacing/>
        <w:jc w:val="both"/>
        <w:rPr>
          <w:color w:val="002060"/>
        </w:rPr>
      </w:pPr>
      <w:r w:rsidRPr="00A03778">
        <w:rPr>
          <w:color w:val="002060"/>
        </w:rPr>
        <w:t>Mức cho vay đối với một lần vay do Hội đồng quản trị NHCSXH quyết định và công bố trên cơ sở nhu cầu vay vốn và khả năng nguồn vốn có thể huy động được trong từng thời kỳ. Nhưng tổng dư nợ của các lần vay không vượt quá mức tối đa theo quy định. Hiện tại mức cho vay, tối đa đối với hộ nghèo là 30 triệu đồng/hộ. Vì mức vay tính theo đầu hộ và căn cứ theo mức tối đa được phép nên hộ vay có thể vừa vay vốn để SXKD và cả để cải thiện đời sống. Mức cho vay quy định đối với từng loại mục đích cụ thể như sau:</w:t>
      </w:r>
    </w:p>
    <w:p w:rsidR="00420D4C" w:rsidRPr="00A03778" w:rsidRDefault="00420D4C" w:rsidP="00A03778">
      <w:pPr>
        <w:spacing w:line="360" w:lineRule="atLeast"/>
        <w:ind w:firstLine="720"/>
        <w:contextualSpacing/>
        <w:jc w:val="both"/>
        <w:rPr>
          <w:color w:val="002060"/>
        </w:rPr>
      </w:pPr>
      <w:r w:rsidRPr="00A03778">
        <w:rPr>
          <w:color w:val="002060"/>
        </w:rPr>
        <w:t>- Hộ vay vốn SXKD tối đa 30 triệu đồng/hộ;</w:t>
      </w:r>
    </w:p>
    <w:p w:rsidR="00420D4C" w:rsidRPr="00A03778" w:rsidRDefault="00420D4C" w:rsidP="00A03778">
      <w:pPr>
        <w:spacing w:line="360" w:lineRule="atLeast"/>
        <w:ind w:firstLine="720"/>
        <w:contextualSpacing/>
        <w:jc w:val="both"/>
        <w:rPr>
          <w:color w:val="002060"/>
        </w:rPr>
      </w:pPr>
      <w:r w:rsidRPr="00A03778">
        <w:rPr>
          <w:color w:val="002060"/>
        </w:rPr>
        <w:t>- Cho vay sửa chữa nhà ở, mức cho vay tối đa 3 triệu đồng/hộ;</w:t>
      </w:r>
    </w:p>
    <w:p w:rsidR="00420D4C" w:rsidRPr="00A03778" w:rsidRDefault="00420D4C" w:rsidP="00A03778">
      <w:pPr>
        <w:spacing w:line="360" w:lineRule="atLeast"/>
        <w:ind w:firstLine="720"/>
        <w:contextualSpacing/>
        <w:jc w:val="both"/>
        <w:rPr>
          <w:color w:val="002060"/>
        </w:rPr>
      </w:pPr>
      <w:r w:rsidRPr="00A03778">
        <w:rPr>
          <w:color w:val="002060"/>
        </w:rPr>
        <w:t>- Cho vay chi phí lắp đặt điện thắp sáng, mức cho vay tối đa 1,5 triệu đồng/hộ;</w:t>
      </w:r>
    </w:p>
    <w:p w:rsidR="00420D4C" w:rsidRPr="00A03778" w:rsidRDefault="00420D4C" w:rsidP="00A03778">
      <w:pPr>
        <w:spacing w:line="360" w:lineRule="atLeast"/>
        <w:ind w:firstLine="720"/>
        <w:contextualSpacing/>
        <w:jc w:val="both"/>
        <w:rPr>
          <w:color w:val="002060"/>
        </w:rPr>
      </w:pPr>
      <w:r w:rsidRPr="00A03778">
        <w:rPr>
          <w:color w:val="002060"/>
        </w:rPr>
        <w:t xml:space="preserve">- Cho vay chi phí xây dựng, cải tạo công trình nước sạch và vệ sinh môi trường nông thôn, mức tối đa 4 triệu đồng/công trình/hộ. </w:t>
      </w:r>
    </w:p>
    <w:p w:rsidR="00420D4C" w:rsidRPr="00A03778" w:rsidRDefault="00420D4C" w:rsidP="00A03778">
      <w:pPr>
        <w:spacing w:line="360" w:lineRule="atLeast"/>
        <w:ind w:firstLine="720"/>
        <w:contextualSpacing/>
        <w:jc w:val="both"/>
        <w:rPr>
          <w:b/>
          <w:i/>
          <w:color w:val="002060"/>
        </w:rPr>
      </w:pPr>
      <w:r w:rsidRPr="00A03778">
        <w:rPr>
          <w:b/>
          <w:i/>
          <w:color w:val="002060"/>
        </w:rPr>
        <w:t>3.3. Mức cho vay tối đa hộ nghèo có tính dư nợ đã được khoanh không</w:t>
      </w:r>
    </w:p>
    <w:p w:rsidR="00420D4C" w:rsidRPr="00A03778" w:rsidRDefault="00420D4C" w:rsidP="00A03778">
      <w:pPr>
        <w:spacing w:line="360" w:lineRule="atLeast"/>
        <w:ind w:firstLine="720"/>
        <w:contextualSpacing/>
        <w:jc w:val="both"/>
        <w:rPr>
          <w:color w:val="002060"/>
        </w:rPr>
      </w:pPr>
      <w:r w:rsidRPr="00A03778">
        <w:rPr>
          <w:color w:val="002060"/>
        </w:rPr>
        <w:t>Theo quy định thì khi có nguyên nhân bất khả kháng xảy ra liên quan đến khoản vay, theo quyết định của cơ quan có thẩm quyền có thể được khoanh nợ. Trong thời gian khoanh nợ, người vay sẽ không phải trả lãi (khoản này được bù đắp từ nguồn NSNN chuyển sang). Khi hết thời hạn được khoanh, người vay phải có phương án trả nợ đối với khoản vay đó. Như vậy, khoản nợ khoanh đó vẫn là khoản nợ mà người vay phải có nghĩa vụ trả cho Ngân hàng, do đó mức cho vay tối đa có tính cả dư nợ đã được khoanh.</w:t>
      </w:r>
    </w:p>
    <w:p w:rsidR="00420D4C" w:rsidRPr="00A03778" w:rsidRDefault="00420D4C" w:rsidP="00A03778">
      <w:pPr>
        <w:spacing w:line="360" w:lineRule="atLeast"/>
        <w:ind w:firstLine="720"/>
        <w:contextualSpacing/>
        <w:jc w:val="both"/>
        <w:rPr>
          <w:color w:val="002060"/>
        </w:rPr>
      </w:pPr>
      <w:r w:rsidRPr="00A03778">
        <w:rPr>
          <w:color w:val="002060"/>
        </w:rPr>
        <w:t>Theo quy định tại Quyết định số 69/2005/QĐ-TTg ngày 04/4/2005 v/v ban hành Quy chế xử lý nợ bị rủi ro của NHCSXH, và Thông tư số 65/2005/TT-BTC hướng dẫn thực hiện Quyết định số 69/2005/QĐ-TTg ngày 04/4/2005, đối với những khoản nợ bị rủi ro do nguyên nhân khách quan sẽ được áp dụng một trong các biện pháp xử lý là miễn, giảm lãi tiền vay hoặc xoá nợ. Như vậy, trong trường hợp miễn lãi tiền vay (gần giống như khoanh nợ), thì khách hàng vẫn phải có nghĩa vụ trả nợ gốc cho ngân hàng. Đó là một khoản vay mà khách hàng vẫn đang và sẽ có nghĩa vụ trả nợ.Vì vậy, mức cho vay tối đa phải tính đến cả số dư nợ đó.</w:t>
      </w:r>
    </w:p>
    <w:p w:rsidR="00420D4C" w:rsidRPr="00A03778" w:rsidRDefault="00420D4C" w:rsidP="00A03778">
      <w:pPr>
        <w:spacing w:line="360" w:lineRule="atLeast"/>
        <w:ind w:firstLine="720"/>
        <w:contextualSpacing/>
        <w:jc w:val="both"/>
        <w:rPr>
          <w:b/>
          <w:i/>
          <w:color w:val="002060"/>
        </w:rPr>
      </w:pPr>
      <w:r w:rsidRPr="00A03778">
        <w:rPr>
          <w:b/>
          <w:i/>
          <w:color w:val="002060"/>
        </w:rPr>
        <w:t>3.4. Những hộ có số tiền vay đã được gia hạn nợ có được vay lưu vụ tiếp không</w:t>
      </w:r>
    </w:p>
    <w:p w:rsidR="00420D4C" w:rsidRPr="00A03778" w:rsidRDefault="00420D4C" w:rsidP="00A03778">
      <w:pPr>
        <w:spacing w:line="360" w:lineRule="atLeast"/>
        <w:ind w:firstLine="720"/>
        <w:contextualSpacing/>
        <w:jc w:val="both"/>
        <w:rPr>
          <w:color w:val="002060"/>
        </w:rPr>
      </w:pPr>
      <w:r w:rsidRPr="00A03778">
        <w:rPr>
          <w:color w:val="002060"/>
          <w:spacing w:val="-6"/>
        </w:rPr>
        <w:t>Có thể, vì cho vay lưu vụ khi việc SXKD có chu kỳ kế tiếp. Trường hợp khi thời hạn vay không trùng với kỳ SXKD, khi đến hạn hộ vay có thể làm đơn xin gia hạn nợ. Sau khi kết thúc kỳ SXKD này chuyển sang kỳ tiếp theo thì có thể xin vay lưu vụ</w:t>
      </w:r>
      <w:r w:rsidRPr="00A03778">
        <w:rPr>
          <w:color w:val="002060"/>
        </w:rPr>
        <w:t>.</w:t>
      </w:r>
    </w:p>
    <w:p w:rsidR="00420D4C" w:rsidRPr="00A03778" w:rsidRDefault="00420D4C" w:rsidP="00A03778">
      <w:pPr>
        <w:spacing w:line="360" w:lineRule="atLeast"/>
        <w:ind w:firstLine="720"/>
        <w:contextualSpacing/>
        <w:jc w:val="both"/>
        <w:rPr>
          <w:b/>
          <w:i/>
          <w:color w:val="002060"/>
          <w:spacing w:val="-10"/>
        </w:rPr>
      </w:pPr>
      <w:r w:rsidRPr="00A03778">
        <w:rPr>
          <w:b/>
          <w:i/>
          <w:color w:val="002060"/>
          <w:spacing w:val="-10"/>
        </w:rPr>
        <w:t xml:space="preserve">3.5. Tổ trưởng tổ tiết kiệm vay vốn xâm tiêu, các tổ viên có được tiếp tục vay vốn </w:t>
      </w:r>
    </w:p>
    <w:p w:rsidR="00420D4C" w:rsidRPr="00A03778" w:rsidRDefault="00420D4C" w:rsidP="00A03778">
      <w:pPr>
        <w:spacing w:line="360" w:lineRule="atLeast"/>
        <w:ind w:firstLine="720"/>
        <w:contextualSpacing/>
        <w:jc w:val="both"/>
        <w:rPr>
          <w:color w:val="002060"/>
        </w:rPr>
      </w:pPr>
      <w:r w:rsidRPr="00A03778">
        <w:rPr>
          <w:color w:val="002060"/>
        </w:rPr>
        <w:t>Tổ trưởng tổ tiết kiệm vay vốn thường là người có phẩm chất đạo đức và được các tổ viên trong tổ tín nhiệm bầu và được cấp có thẩm quyền chấp thuận.Trường hợp xâm tiêu không có liên quan đến các tổ viên thì các tổ viên vẫn được vay vốn.</w:t>
      </w:r>
    </w:p>
    <w:p w:rsidR="00420D4C" w:rsidRPr="00561B1E" w:rsidRDefault="00420D4C" w:rsidP="00A03778">
      <w:pPr>
        <w:spacing w:line="360" w:lineRule="atLeast"/>
        <w:ind w:firstLine="720"/>
        <w:contextualSpacing/>
        <w:jc w:val="center"/>
        <w:rPr>
          <w:b/>
          <w:color w:val="002060"/>
        </w:rPr>
      </w:pPr>
      <w:r w:rsidRPr="00561B1E">
        <w:rPr>
          <w:b/>
          <w:color w:val="002060"/>
        </w:rPr>
        <w:t>III. CHO VAY CÁC ĐỐI TƯỢNG CHÍNH SÁCH  ĐI LAO ĐỘNG CÓ THỜI HẠN Ở NƯỚC NGOÀI</w:t>
      </w:r>
    </w:p>
    <w:p w:rsidR="00420D4C" w:rsidRPr="00A03778" w:rsidRDefault="00420D4C" w:rsidP="00A03778">
      <w:pPr>
        <w:spacing w:line="360" w:lineRule="atLeast"/>
        <w:ind w:firstLine="720"/>
        <w:contextualSpacing/>
        <w:jc w:val="both"/>
        <w:rPr>
          <w:b/>
          <w:color w:val="002060"/>
        </w:rPr>
      </w:pPr>
      <w:r w:rsidRPr="00A03778">
        <w:rPr>
          <w:b/>
          <w:color w:val="002060"/>
        </w:rPr>
        <w:t>1. Thực hiện kiểm toán</w:t>
      </w:r>
    </w:p>
    <w:p w:rsidR="00420D4C" w:rsidRPr="00A03778" w:rsidRDefault="00420D4C" w:rsidP="00A03778">
      <w:pPr>
        <w:spacing w:line="360" w:lineRule="atLeast"/>
        <w:ind w:firstLine="720"/>
        <w:contextualSpacing/>
        <w:jc w:val="both"/>
        <w:rPr>
          <w:color w:val="002060"/>
        </w:rPr>
      </w:pPr>
      <w:r w:rsidRPr="00A03778">
        <w:rPr>
          <w:color w:val="002060"/>
        </w:rPr>
        <w:t>Kiểm tra tương tự như đối với cho vay GQVL trên một số tiêu chí cơ bản.</w:t>
      </w:r>
    </w:p>
    <w:p w:rsidR="00420D4C" w:rsidRPr="00A03778" w:rsidRDefault="00420D4C" w:rsidP="00A03778">
      <w:pPr>
        <w:spacing w:line="360" w:lineRule="atLeast"/>
        <w:ind w:firstLine="720"/>
        <w:contextualSpacing/>
        <w:jc w:val="both"/>
        <w:rPr>
          <w:b/>
          <w:color w:val="002060"/>
        </w:rPr>
      </w:pPr>
      <w:r w:rsidRPr="00A03778">
        <w:rPr>
          <w:b/>
          <w:color w:val="002060"/>
        </w:rPr>
        <w:t>2. Các văn bản quy phạm pháp luật điều chỉnh về cho vay đối với các đối tượng chính sách đi lao động có thời hạn ở nước ngoài</w:t>
      </w:r>
    </w:p>
    <w:p w:rsidR="00420D4C" w:rsidRPr="00A03778" w:rsidRDefault="00420D4C" w:rsidP="00A03778">
      <w:pPr>
        <w:spacing w:line="360" w:lineRule="atLeast"/>
        <w:ind w:firstLine="720"/>
        <w:jc w:val="both"/>
        <w:rPr>
          <w:color w:val="002060"/>
        </w:rPr>
      </w:pPr>
      <w:r w:rsidRPr="00A03778">
        <w:rPr>
          <w:color w:val="002060"/>
        </w:rPr>
        <w:t xml:space="preserve">+ Quyết định số </w:t>
      </w:r>
      <w:hyperlink r:id="rId9" w:history="1">
        <w:r w:rsidRPr="00A03778">
          <w:rPr>
            <w:rStyle w:val="Hyperlink"/>
            <w:color w:val="002060"/>
          </w:rPr>
          <w:t>365/2004/QĐ-NHNN</w:t>
        </w:r>
      </w:hyperlink>
      <w:r w:rsidRPr="00A03778">
        <w:rPr>
          <w:color w:val="002060"/>
        </w:rPr>
        <w:t xml:space="preserve"> ngày 13/4/2004 của Thống đốc Ngân hàng Nhà nước về việc cho vay đối với người lao động Việt Nam đi làm việc ở nước ngoài.</w:t>
      </w:r>
    </w:p>
    <w:p w:rsidR="00420D4C" w:rsidRPr="00A03778" w:rsidRDefault="00420D4C" w:rsidP="00A03778">
      <w:pPr>
        <w:spacing w:line="360" w:lineRule="atLeast"/>
        <w:ind w:firstLine="720"/>
        <w:jc w:val="both"/>
        <w:rPr>
          <w:color w:val="002060"/>
        </w:rPr>
      </w:pPr>
      <w:r w:rsidRPr="00A03778">
        <w:rPr>
          <w:color w:val="002060"/>
        </w:rPr>
        <w:t xml:space="preserve">+ Văn bản số </w:t>
      </w:r>
      <w:hyperlink r:id="rId10" w:history="1">
        <w:r w:rsidRPr="00A03778">
          <w:rPr>
            <w:rStyle w:val="Hyperlink"/>
            <w:color w:val="002060"/>
          </w:rPr>
          <w:t>1034/NHCS-TD</w:t>
        </w:r>
      </w:hyperlink>
      <w:r w:rsidRPr="00A03778">
        <w:rPr>
          <w:color w:val="002060"/>
        </w:rPr>
        <w:t xml:space="preserve"> ngày 21/4/2008 của Tổng giám đốc NHCSXH về hướng dẫn nghiệp vụ cho vay các đối tượng chính sách đi lao động có thời hạn ở nước ngoài.</w:t>
      </w:r>
    </w:p>
    <w:p w:rsidR="00420D4C" w:rsidRPr="00A03778" w:rsidRDefault="00420D4C" w:rsidP="00A03778">
      <w:pPr>
        <w:spacing w:line="360" w:lineRule="atLeast"/>
        <w:ind w:firstLine="720"/>
        <w:contextualSpacing/>
        <w:jc w:val="both"/>
        <w:rPr>
          <w:color w:val="002060"/>
        </w:rPr>
      </w:pPr>
      <w:r w:rsidRPr="00A03778">
        <w:rPr>
          <w:color w:val="002060"/>
        </w:rPr>
        <w:t>Văn bản số 319/NHCS-KH ngày 02/5/2003 về hướng dẫn nghiệp vụ cho vay các đối tượng chính sách đi lao động có thời hạn ở nước ngoài (không phải là VBQPPL).</w:t>
      </w:r>
    </w:p>
    <w:p w:rsidR="00420D4C" w:rsidRPr="00A03778" w:rsidRDefault="00420D4C" w:rsidP="00A03778">
      <w:pPr>
        <w:spacing w:line="360" w:lineRule="atLeast"/>
        <w:ind w:firstLine="720"/>
        <w:contextualSpacing/>
        <w:jc w:val="both"/>
        <w:rPr>
          <w:b/>
          <w:color w:val="002060"/>
        </w:rPr>
      </w:pPr>
      <w:r w:rsidRPr="00A03778">
        <w:rPr>
          <w:b/>
          <w:color w:val="002060"/>
        </w:rPr>
        <w:t>3. Phương pháp xử lí trường hợp phát sinh khi cho vay các đối tượng chính sách đi lao động nước ngoài</w:t>
      </w:r>
    </w:p>
    <w:p w:rsidR="00420D4C" w:rsidRPr="00A03778" w:rsidRDefault="00420D4C" w:rsidP="00A03778">
      <w:pPr>
        <w:spacing w:line="360" w:lineRule="atLeast"/>
        <w:ind w:firstLine="720"/>
        <w:contextualSpacing/>
        <w:jc w:val="both"/>
        <w:rPr>
          <w:color w:val="002060"/>
        </w:rPr>
      </w:pPr>
      <w:r w:rsidRPr="00A03778">
        <w:rPr>
          <w:color w:val="002060"/>
        </w:rPr>
        <w:t>Khi người lao động độc thân vi phạm hợp đồng với bên nước ngoài, bị trả về nước trước thời hạn.Trường hợp này là do nguyên nhân chủ quan của người lao động (người vay), người vay phải bồi hoàn và bị xử lý theo quy định của pháp luật. Ngân hàng phải áp dụng biện pháp thu hồi nợ trước hạn.</w:t>
      </w:r>
    </w:p>
    <w:p w:rsidR="00420D4C" w:rsidRPr="00A03778" w:rsidRDefault="00420D4C" w:rsidP="00A03778">
      <w:pPr>
        <w:spacing w:line="360" w:lineRule="atLeast"/>
        <w:ind w:firstLine="720"/>
        <w:contextualSpacing/>
        <w:jc w:val="both"/>
        <w:rPr>
          <w:color w:val="002060"/>
        </w:rPr>
      </w:pPr>
    </w:p>
    <w:p w:rsidR="00420D4C" w:rsidRPr="00561B1E" w:rsidRDefault="00420D4C" w:rsidP="00A03778">
      <w:pPr>
        <w:spacing w:line="360" w:lineRule="atLeast"/>
        <w:ind w:firstLine="720"/>
        <w:contextualSpacing/>
        <w:rPr>
          <w:b/>
          <w:color w:val="002060"/>
        </w:rPr>
      </w:pPr>
      <w:r w:rsidRPr="00561B1E">
        <w:rPr>
          <w:b/>
          <w:color w:val="002060"/>
        </w:rPr>
        <w:t>IV. CHO VAY HỌC SINH, SINH VIÊN</w:t>
      </w:r>
    </w:p>
    <w:p w:rsidR="00420D4C" w:rsidRPr="00A03778" w:rsidRDefault="00420D4C" w:rsidP="00A03778">
      <w:pPr>
        <w:spacing w:line="360" w:lineRule="atLeast"/>
        <w:ind w:firstLine="720"/>
        <w:contextualSpacing/>
        <w:jc w:val="both"/>
        <w:rPr>
          <w:b/>
          <w:color w:val="002060"/>
        </w:rPr>
      </w:pPr>
      <w:r w:rsidRPr="00A03778">
        <w:rPr>
          <w:b/>
          <w:color w:val="002060"/>
        </w:rPr>
        <w:t>1. Thực hiện kiểm toán</w:t>
      </w:r>
    </w:p>
    <w:p w:rsidR="00420D4C" w:rsidRPr="00A03778" w:rsidRDefault="00420D4C" w:rsidP="00A03778">
      <w:pPr>
        <w:spacing w:line="360" w:lineRule="atLeast"/>
        <w:ind w:firstLine="720"/>
        <w:contextualSpacing/>
        <w:jc w:val="both"/>
        <w:rPr>
          <w:color w:val="002060"/>
        </w:rPr>
      </w:pPr>
      <w:r w:rsidRPr="00A03778">
        <w:rPr>
          <w:color w:val="002060"/>
        </w:rPr>
        <w:t>Kiểm tra tương tự như đối với cho vay GQVL trên một số tiêu chí cơ bản.</w:t>
      </w:r>
    </w:p>
    <w:p w:rsidR="00420D4C" w:rsidRPr="00A03778" w:rsidRDefault="00420D4C" w:rsidP="00A03778">
      <w:pPr>
        <w:spacing w:line="360" w:lineRule="atLeast"/>
        <w:ind w:firstLine="720"/>
        <w:contextualSpacing/>
        <w:jc w:val="both"/>
        <w:rPr>
          <w:b/>
          <w:color w:val="002060"/>
        </w:rPr>
      </w:pPr>
      <w:r w:rsidRPr="00A03778">
        <w:rPr>
          <w:b/>
          <w:color w:val="002060"/>
        </w:rPr>
        <w:t>2. Một số văn bản quy phạm pháp luật chủ yếu về cho vay đối với học sinh, sinh viên có hoàn cảnh khó khăn</w:t>
      </w:r>
    </w:p>
    <w:p w:rsidR="00420D4C" w:rsidRPr="00A03778" w:rsidRDefault="00420D4C" w:rsidP="00A03778">
      <w:pPr>
        <w:spacing w:line="360" w:lineRule="atLeast"/>
        <w:ind w:firstLine="720"/>
        <w:jc w:val="both"/>
        <w:rPr>
          <w:color w:val="002060"/>
        </w:rPr>
      </w:pPr>
      <w:r w:rsidRPr="00A03778">
        <w:rPr>
          <w:color w:val="002060"/>
        </w:rPr>
        <w:t xml:space="preserve"> Quyết định số 157/2007/QĐ-TTgcủa Thủ tướng ngày 27/9/2007 về Tín dụng học sinh sinh viên.</w:t>
      </w:r>
    </w:p>
    <w:p w:rsidR="00420D4C" w:rsidRPr="00A03778" w:rsidRDefault="00420D4C" w:rsidP="00A03778">
      <w:pPr>
        <w:spacing w:line="360" w:lineRule="atLeast"/>
        <w:ind w:firstLine="720"/>
        <w:jc w:val="both"/>
        <w:rPr>
          <w:color w:val="002060"/>
        </w:rPr>
      </w:pPr>
      <w:r w:rsidRPr="00A03778">
        <w:rPr>
          <w:color w:val="002060"/>
        </w:rPr>
        <w:t xml:space="preserve"> Văn bản số 2162A/NHCS-TD ngày 02/10/2007 Hướng dẫn Thực hiện cho vay đối với học sinh, sinh viên theo Quyết định số 157/2007/QĐ-TTg ngày 27/9/2007 của Thủ tướng Chính phủ</w:t>
      </w:r>
    </w:p>
    <w:p w:rsidR="00420D4C" w:rsidRDefault="00420D4C" w:rsidP="00A03778">
      <w:pPr>
        <w:spacing w:line="360" w:lineRule="atLeast"/>
        <w:ind w:firstLine="720"/>
        <w:contextualSpacing/>
        <w:jc w:val="both"/>
        <w:rPr>
          <w:b/>
          <w:color w:val="002060"/>
        </w:rPr>
      </w:pPr>
      <w:r w:rsidRPr="00241129">
        <w:rPr>
          <w:b/>
          <w:color w:val="002060"/>
        </w:rPr>
        <w:t>V. NGHIỆP VỤ CẤP BÙ LÃI SUẤT VÀ CHI PHÍ QUẢN LÝ</w:t>
      </w:r>
    </w:p>
    <w:p w:rsidR="00241129" w:rsidRPr="0091337A" w:rsidRDefault="00241129" w:rsidP="0091337A">
      <w:pPr>
        <w:widowControl w:val="0"/>
        <w:tabs>
          <w:tab w:val="left" w:pos="720"/>
        </w:tabs>
        <w:spacing w:line="360" w:lineRule="atLeast"/>
        <w:ind w:firstLine="720"/>
        <w:jc w:val="both"/>
        <w:rPr>
          <w:color w:val="002060"/>
          <w:lang w:val="nl-NL"/>
        </w:rPr>
      </w:pPr>
      <w:r w:rsidRPr="0091337A">
        <w:rPr>
          <w:color w:val="002060"/>
          <w:lang w:val="nl-NL"/>
        </w:rPr>
        <w:t>Kiểm toán cấp bù chênh lệch lãi suất và chi phí quản lý được thực hiện tại Trụ sở chính của NHCSXH</w:t>
      </w:r>
      <w:r w:rsidRPr="0091337A">
        <w:rPr>
          <w:color w:val="002060"/>
          <w:lang w:val="nl-NL"/>
        </w:rPr>
        <w:t>.</w:t>
      </w:r>
    </w:p>
    <w:p w:rsidR="00420D4C" w:rsidRPr="0091337A" w:rsidRDefault="0091337A" w:rsidP="0091337A">
      <w:pPr>
        <w:spacing w:line="360" w:lineRule="atLeast"/>
        <w:ind w:firstLine="720"/>
        <w:jc w:val="both"/>
        <w:rPr>
          <w:color w:val="002060"/>
          <w:lang w:val="vi-VN"/>
        </w:rPr>
      </w:pPr>
      <w:r w:rsidRPr="0091337A">
        <w:rPr>
          <w:color w:val="002060"/>
        </w:rPr>
        <w:t>-</w:t>
      </w:r>
      <w:r w:rsidR="00420D4C" w:rsidRPr="0091337A">
        <w:rPr>
          <w:color w:val="002060"/>
          <w:lang w:val="vi-VN"/>
        </w:rPr>
        <w:t xml:space="preserve"> Đánh giá tính tuân thủ, chấp hành qui định tính toán cấp bù chênh lệch lãi suất của NHCSXH so với </w:t>
      </w:r>
      <w:r w:rsidRPr="0091337A">
        <w:rPr>
          <w:color w:val="002060"/>
        </w:rPr>
        <w:t>qui định (T</w:t>
      </w:r>
      <w:r w:rsidR="00420D4C" w:rsidRPr="0091337A">
        <w:rPr>
          <w:color w:val="002060"/>
          <w:lang w:val="vi-VN"/>
        </w:rPr>
        <w:t xml:space="preserve">hông tư </w:t>
      </w:r>
      <w:r w:rsidR="00420D4C" w:rsidRPr="0091337A">
        <w:rPr>
          <w:color w:val="002060"/>
        </w:rPr>
        <w:t xml:space="preserve">62/2016/TT-BTC và </w:t>
      </w:r>
      <w:r w:rsidRPr="0091337A">
        <w:rPr>
          <w:color w:val="002060"/>
        </w:rPr>
        <w:t xml:space="preserve">Quyết định </w:t>
      </w:r>
      <w:r w:rsidR="00420D4C" w:rsidRPr="0091337A">
        <w:rPr>
          <w:color w:val="002060"/>
        </w:rPr>
        <w:t>30/2015/QĐ-TT</w:t>
      </w:r>
      <w:r w:rsidRPr="0091337A">
        <w:rPr>
          <w:color w:val="002060"/>
        </w:rPr>
        <w:t>g).</w:t>
      </w:r>
      <w:r w:rsidR="00420D4C" w:rsidRPr="0091337A">
        <w:rPr>
          <w:color w:val="002060"/>
          <w:lang w:val="vi-VN"/>
        </w:rPr>
        <w:t xml:space="preserve"> </w:t>
      </w:r>
    </w:p>
    <w:p w:rsidR="00420D4C" w:rsidRPr="0091337A" w:rsidRDefault="0091337A" w:rsidP="0091337A">
      <w:pPr>
        <w:spacing w:line="360" w:lineRule="atLeast"/>
        <w:ind w:firstLine="720"/>
        <w:jc w:val="both"/>
        <w:rPr>
          <w:color w:val="002060"/>
        </w:rPr>
      </w:pPr>
      <w:r w:rsidRPr="0091337A">
        <w:rPr>
          <w:color w:val="002060"/>
        </w:rPr>
        <w:t>-</w:t>
      </w:r>
      <w:r w:rsidR="00420D4C" w:rsidRPr="0091337A">
        <w:rPr>
          <w:color w:val="002060"/>
          <w:lang w:val="vi-VN"/>
        </w:rPr>
        <w:t xml:space="preserve"> Rà soát, xác định các khoản được loại trừ khi tính cấp bù chênh lệch lãi suất và phí quản lý (Các khoản nguồn vốn huy động không phải tính lãi mà </w:t>
      </w:r>
      <w:r w:rsidRPr="0091337A">
        <w:rPr>
          <w:color w:val="002060"/>
        </w:rPr>
        <w:t xml:space="preserve">NHCSXH </w:t>
      </w:r>
      <w:r w:rsidR="00420D4C" w:rsidRPr="0091337A">
        <w:rPr>
          <w:color w:val="002060"/>
          <w:lang w:val="vi-VN"/>
        </w:rPr>
        <w:t xml:space="preserve">vẫn đưa vào khi tính toán cấp bù; Các khoản cho vay sai đối tượng phát hiện trong năm; Nguồn vốn ủy thác; Nợ khoanh, nợ xóa; Tồn quỹ tiền mặt và tiền gửi tại TCTD; </w:t>
      </w:r>
      <w:r w:rsidRPr="0091337A">
        <w:rPr>
          <w:color w:val="002060"/>
        </w:rPr>
        <w:t>h</w:t>
      </w:r>
      <w:r w:rsidR="00420D4C" w:rsidRPr="0091337A">
        <w:rPr>
          <w:color w:val="002060"/>
          <w:lang w:val="vi-VN"/>
        </w:rPr>
        <w:t xml:space="preserve">oặc các khoản loại trừ khác (theo qui định </w:t>
      </w:r>
      <w:r w:rsidR="00420D4C" w:rsidRPr="0091337A">
        <w:rPr>
          <w:color w:val="002060"/>
        </w:rPr>
        <w:t>62/2016/TT-BTC</w:t>
      </w:r>
      <w:r w:rsidR="00420D4C" w:rsidRPr="0091337A">
        <w:rPr>
          <w:color w:val="002060"/>
          <w:lang w:val="vi-VN"/>
        </w:rPr>
        <w:t>).</w:t>
      </w:r>
    </w:p>
    <w:p w:rsidR="00241129" w:rsidRPr="0091337A" w:rsidRDefault="00241129" w:rsidP="0091337A">
      <w:pPr>
        <w:widowControl w:val="0"/>
        <w:tabs>
          <w:tab w:val="left" w:pos="720"/>
        </w:tabs>
        <w:spacing w:line="360" w:lineRule="atLeast"/>
        <w:ind w:firstLine="720"/>
        <w:jc w:val="both"/>
        <w:rPr>
          <w:color w:val="002060"/>
          <w:lang w:val="nl-NL"/>
        </w:rPr>
      </w:pPr>
      <w:r w:rsidRPr="0091337A">
        <w:rPr>
          <w:color w:val="002060"/>
          <w:lang w:val="nl-NL"/>
        </w:rPr>
        <w:t xml:space="preserve">- Kiểm toán số liệu dư nợ tại thời điểm cuối các tháng trong năm </w:t>
      </w:r>
      <w:r w:rsidRPr="0091337A">
        <w:rPr>
          <w:color w:val="002060"/>
          <w:lang w:val="nl-NL"/>
        </w:rPr>
        <w:t>được kiểm toán</w:t>
      </w:r>
      <w:r w:rsidRPr="0091337A">
        <w:rPr>
          <w:color w:val="002060"/>
          <w:lang w:val="nl-NL"/>
        </w:rPr>
        <w:t xml:space="preserve"> của các Chi nhánh</w:t>
      </w:r>
      <w:r w:rsidRPr="0091337A">
        <w:rPr>
          <w:color w:val="002060"/>
          <w:lang w:val="nl-NL"/>
        </w:rPr>
        <w:t xml:space="preserve"> và </w:t>
      </w:r>
      <w:r w:rsidRPr="0091337A">
        <w:rPr>
          <w:color w:val="002060"/>
          <w:lang w:val="nl-NL"/>
        </w:rPr>
        <w:t>toàn hệ thống NHCSXH; Kiểm tra đối chiếu giữa số liệu thực tế và số liệu hạch toán của số dư nợ từ nguồn ủy thác, nguồn viện trợ... và số dư nợ từ các nguồn của NHCSXH để xác định số dư nợ bình quân của các nguồn huy động (đã loại trừ nguồn ủy thác, viện trợ...) để xác định số liệu lãi suất bình quân đầu vào, làm cơ sở tính toán cấp bù chênh lệch lãi suất.</w:t>
      </w:r>
    </w:p>
    <w:p w:rsidR="00241129" w:rsidRPr="0091337A" w:rsidRDefault="00241129" w:rsidP="0091337A">
      <w:pPr>
        <w:widowControl w:val="0"/>
        <w:tabs>
          <w:tab w:val="left" w:pos="720"/>
        </w:tabs>
        <w:spacing w:line="360" w:lineRule="atLeast"/>
        <w:ind w:firstLine="720"/>
        <w:jc w:val="both"/>
        <w:rPr>
          <w:color w:val="002060"/>
          <w:lang w:val="nl-NL"/>
        </w:rPr>
      </w:pPr>
      <w:r w:rsidRPr="0091337A">
        <w:rPr>
          <w:color w:val="002060"/>
          <w:lang w:val="nl-NL"/>
        </w:rPr>
        <w:t>- Kiểm toán tính chính xác của số lãi phải thu</w:t>
      </w:r>
      <w:r w:rsidR="0091337A" w:rsidRPr="0091337A">
        <w:rPr>
          <w:color w:val="002060"/>
          <w:lang w:val="nl-NL"/>
        </w:rPr>
        <w:t>,</w:t>
      </w:r>
      <w:r w:rsidRPr="0091337A">
        <w:rPr>
          <w:color w:val="002060"/>
          <w:lang w:val="nl-NL"/>
        </w:rPr>
        <w:t xml:space="preserve"> thuộc nguồn NHCSXH theo mẫu quyết toán tại các Chi nhánh</w:t>
      </w:r>
      <w:r w:rsidR="0091337A" w:rsidRPr="0091337A">
        <w:rPr>
          <w:color w:val="002060"/>
          <w:lang w:val="nl-NL"/>
        </w:rPr>
        <w:t>,</w:t>
      </w:r>
      <w:r w:rsidRPr="0091337A">
        <w:rPr>
          <w:color w:val="002060"/>
          <w:lang w:val="nl-NL"/>
        </w:rPr>
        <w:t xml:space="preserve"> để làm căn cứ xác định lãi suất bình quân đầu ra khi tính cấp bù chênh lệch lãi suất. Kiểm tra xác định các trường hợp quá hạn nhưng chưa được gia hạn đã được thực hiện tính lãi suất quá hạn phải thu theo quy định hay chưa.</w:t>
      </w:r>
    </w:p>
    <w:p w:rsidR="00241129" w:rsidRPr="0091337A" w:rsidRDefault="00241129" w:rsidP="0091337A">
      <w:pPr>
        <w:widowControl w:val="0"/>
        <w:tabs>
          <w:tab w:val="left" w:pos="720"/>
        </w:tabs>
        <w:spacing w:line="360" w:lineRule="atLeast"/>
        <w:ind w:firstLine="720"/>
        <w:jc w:val="both"/>
        <w:rPr>
          <w:color w:val="002060"/>
          <w:lang w:val="nl-NL"/>
        </w:rPr>
      </w:pPr>
      <w:r w:rsidRPr="0091337A">
        <w:rPr>
          <w:color w:val="002060"/>
          <w:lang w:val="nl-NL"/>
        </w:rPr>
        <w:t>- Kiểm toán công tác hạch toán nguồn địa phương và các nguồn ủy thác khác... đã hạch toán chính xác chưa để làm căn cứ loại trừ khi xác định cấp bù chênh lệch lãi suất.</w:t>
      </w:r>
    </w:p>
    <w:p w:rsidR="00241129" w:rsidRPr="0091337A" w:rsidRDefault="00241129" w:rsidP="0091337A">
      <w:pPr>
        <w:widowControl w:val="0"/>
        <w:tabs>
          <w:tab w:val="left" w:pos="720"/>
        </w:tabs>
        <w:spacing w:line="360" w:lineRule="atLeast"/>
        <w:ind w:firstLine="720"/>
        <w:jc w:val="both"/>
        <w:rPr>
          <w:color w:val="002060"/>
          <w:lang w:val="nl-NL"/>
        </w:rPr>
      </w:pPr>
      <w:r w:rsidRPr="0091337A">
        <w:rPr>
          <w:color w:val="002060"/>
          <w:lang w:val="nl-NL"/>
        </w:rPr>
        <w:t xml:space="preserve">- Kiểm toán việc xây dựng và phê duyệt mức phí quản lý theo tỷ lệ có phù hợp không? (xem xét việc xây dựng định mức phí quản lý trình Bộ Tài chính phê duyệt để đưa ra </w:t>
      </w:r>
      <w:r w:rsidR="0091337A" w:rsidRPr="0091337A">
        <w:rPr>
          <w:color w:val="002060"/>
          <w:lang w:val="nl-NL"/>
        </w:rPr>
        <w:t xml:space="preserve">ý </w:t>
      </w:r>
      <w:r w:rsidRPr="0091337A">
        <w:rPr>
          <w:color w:val="002060"/>
          <w:lang w:val="nl-NL"/>
        </w:rPr>
        <w:t>kiến</w:t>
      </w:r>
      <w:r w:rsidR="0091337A" w:rsidRPr="0091337A">
        <w:rPr>
          <w:color w:val="002060"/>
          <w:lang w:val="nl-NL"/>
        </w:rPr>
        <w:t xml:space="preserve"> ...</w:t>
      </w:r>
      <w:r w:rsidRPr="0091337A">
        <w:rPr>
          <w:color w:val="002060"/>
          <w:lang w:val="nl-NL"/>
        </w:rPr>
        <w:t>).</w:t>
      </w:r>
    </w:p>
    <w:p w:rsidR="00241129" w:rsidRPr="0091337A" w:rsidRDefault="00241129" w:rsidP="0091337A">
      <w:pPr>
        <w:widowControl w:val="0"/>
        <w:tabs>
          <w:tab w:val="left" w:pos="720"/>
        </w:tabs>
        <w:spacing w:line="360" w:lineRule="atLeast"/>
        <w:ind w:firstLine="720"/>
        <w:jc w:val="both"/>
        <w:rPr>
          <w:color w:val="002060"/>
          <w:lang w:val="nl-NL"/>
        </w:rPr>
      </w:pPr>
      <w:r w:rsidRPr="0091337A">
        <w:rPr>
          <w:color w:val="002060"/>
          <w:lang w:val="nl-NL"/>
        </w:rPr>
        <w:t xml:space="preserve">- Kiểm toán việc xây dựng và phê duyệt đơn giá tiền lương có phù hợp không? (xem xét việc xây dựng đơn giá tiền lương trình Bộ Lao động thương binh và Xã hội phê duyệt để đưa ra </w:t>
      </w:r>
      <w:r w:rsidR="0091337A" w:rsidRPr="0091337A">
        <w:rPr>
          <w:color w:val="002060"/>
          <w:lang w:val="nl-NL"/>
        </w:rPr>
        <w:t xml:space="preserve">ý </w:t>
      </w:r>
      <w:r w:rsidRPr="0091337A">
        <w:rPr>
          <w:color w:val="002060"/>
          <w:lang w:val="nl-NL"/>
        </w:rPr>
        <w:t>kiến</w:t>
      </w:r>
      <w:bookmarkStart w:id="0" w:name="_GoBack"/>
      <w:bookmarkEnd w:id="0"/>
      <w:r w:rsidR="0091337A" w:rsidRPr="0091337A">
        <w:rPr>
          <w:color w:val="002060"/>
          <w:lang w:val="nl-NL"/>
        </w:rPr>
        <w:t>..</w:t>
      </w:r>
      <w:r w:rsidRPr="0091337A">
        <w:rPr>
          <w:color w:val="002060"/>
          <w:lang w:val="nl-NL"/>
        </w:rPr>
        <w:t>.</w:t>
      </w:r>
      <w:r w:rsidR="0091337A">
        <w:rPr>
          <w:color w:val="002060"/>
          <w:lang w:val="nl-NL"/>
        </w:rPr>
        <w:t>).</w:t>
      </w:r>
    </w:p>
    <w:p w:rsidR="000B75AB" w:rsidRPr="00A03778" w:rsidRDefault="000B75AB" w:rsidP="00A03778">
      <w:pPr>
        <w:spacing w:line="360" w:lineRule="atLeast"/>
        <w:rPr>
          <w:color w:val="002060"/>
        </w:rPr>
      </w:pPr>
    </w:p>
    <w:sectPr w:rsidR="000B75AB" w:rsidRPr="00A03778" w:rsidSect="00A03778">
      <w:footerReference w:type="default" r:id="rId11"/>
      <w:pgSz w:w="12240" w:h="15840"/>
      <w:pgMar w:top="108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BD4" w:rsidRDefault="00420BD4" w:rsidP="001F4C1F">
      <w:r>
        <w:separator/>
      </w:r>
    </w:p>
  </w:endnote>
  <w:endnote w:type="continuationSeparator" w:id="0">
    <w:p w:rsidR="00420BD4" w:rsidRDefault="00420BD4" w:rsidP="001F4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8366548"/>
      <w:docPartObj>
        <w:docPartGallery w:val="Page Numbers (Bottom of Page)"/>
        <w:docPartUnique/>
      </w:docPartObj>
    </w:sdtPr>
    <w:sdtEndPr>
      <w:rPr>
        <w:noProof/>
      </w:rPr>
    </w:sdtEndPr>
    <w:sdtContent>
      <w:p w:rsidR="001F4C1F" w:rsidRDefault="001F4C1F">
        <w:pPr>
          <w:pStyle w:val="Footer"/>
          <w:jc w:val="center"/>
        </w:pPr>
        <w:r>
          <w:fldChar w:fldCharType="begin"/>
        </w:r>
        <w:r>
          <w:instrText xml:space="preserve"> PAGE   \* MERGEFORMAT </w:instrText>
        </w:r>
        <w:r>
          <w:fldChar w:fldCharType="separate"/>
        </w:r>
        <w:r w:rsidR="00420BD4">
          <w:rPr>
            <w:noProof/>
          </w:rPr>
          <w:t>1</w:t>
        </w:r>
        <w:r>
          <w:rPr>
            <w:noProof/>
          </w:rPr>
          <w:fldChar w:fldCharType="end"/>
        </w:r>
      </w:p>
    </w:sdtContent>
  </w:sdt>
  <w:p w:rsidR="001F4C1F" w:rsidRDefault="001F4C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BD4" w:rsidRDefault="00420BD4" w:rsidP="001F4C1F">
      <w:r>
        <w:separator/>
      </w:r>
    </w:p>
  </w:footnote>
  <w:footnote w:type="continuationSeparator" w:id="0">
    <w:p w:rsidR="00420BD4" w:rsidRDefault="00420BD4" w:rsidP="001F4C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D4C"/>
    <w:rsid w:val="000B75AB"/>
    <w:rsid w:val="001104F8"/>
    <w:rsid w:val="001F4C1F"/>
    <w:rsid w:val="00241129"/>
    <w:rsid w:val="003500D9"/>
    <w:rsid w:val="00420BD4"/>
    <w:rsid w:val="00420D4C"/>
    <w:rsid w:val="00561B1E"/>
    <w:rsid w:val="0091337A"/>
    <w:rsid w:val="00A037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D4C"/>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20D4C"/>
    <w:rPr>
      <w:color w:val="0000FF"/>
      <w:u w:val="single"/>
    </w:rPr>
  </w:style>
  <w:style w:type="paragraph" w:styleId="Header">
    <w:name w:val="header"/>
    <w:basedOn w:val="Normal"/>
    <w:link w:val="HeaderChar"/>
    <w:uiPriority w:val="99"/>
    <w:unhideWhenUsed/>
    <w:rsid w:val="001F4C1F"/>
    <w:pPr>
      <w:tabs>
        <w:tab w:val="center" w:pos="4680"/>
        <w:tab w:val="right" w:pos="9360"/>
      </w:tabs>
    </w:pPr>
  </w:style>
  <w:style w:type="character" w:customStyle="1" w:styleId="HeaderChar">
    <w:name w:val="Header Char"/>
    <w:basedOn w:val="DefaultParagraphFont"/>
    <w:link w:val="Header"/>
    <w:uiPriority w:val="99"/>
    <w:rsid w:val="001F4C1F"/>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1F4C1F"/>
    <w:pPr>
      <w:tabs>
        <w:tab w:val="center" w:pos="4680"/>
        <w:tab w:val="right" w:pos="9360"/>
      </w:tabs>
    </w:pPr>
  </w:style>
  <w:style w:type="character" w:customStyle="1" w:styleId="FooterChar">
    <w:name w:val="Footer Char"/>
    <w:basedOn w:val="DefaultParagraphFont"/>
    <w:link w:val="Footer"/>
    <w:uiPriority w:val="99"/>
    <w:rsid w:val="001F4C1F"/>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D4C"/>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20D4C"/>
    <w:rPr>
      <w:color w:val="0000FF"/>
      <w:u w:val="single"/>
    </w:rPr>
  </w:style>
  <w:style w:type="paragraph" w:styleId="Header">
    <w:name w:val="header"/>
    <w:basedOn w:val="Normal"/>
    <w:link w:val="HeaderChar"/>
    <w:uiPriority w:val="99"/>
    <w:unhideWhenUsed/>
    <w:rsid w:val="001F4C1F"/>
    <w:pPr>
      <w:tabs>
        <w:tab w:val="center" w:pos="4680"/>
        <w:tab w:val="right" w:pos="9360"/>
      </w:tabs>
    </w:pPr>
  </w:style>
  <w:style w:type="character" w:customStyle="1" w:styleId="HeaderChar">
    <w:name w:val="Header Char"/>
    <w:basedOn w:val="DefaultParagraphFont"/>
    <w:link w:val="Header"/>
    <w:uiPriority w:val="99"/>
    <w:rsid w:val="001F4C1F"/>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1F4C1F"/>
    <w:pPr>
      <w:tabs>
        <w:tab w:val="center" w:pos="4680"/>
        <w:tab w:val="right" w:pos="9360"/>
      </w:tabs>
    </w:pPr>
  </w:style>
  <w:style w:type="character" w:customStyle="1" w:styleId="FooterChar">
    <w:name w:val="Footer Char"/>
    <w:basedOn w:val="DefaultParagraphFont"/>
    <w:link w:val="Footer"/>
    <w:uiPriority w:val="99"/>
    <w:rsid w:val="001F4C1F"/>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50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TNN1\Desktop\NHCSXH%202016\Ban%20TDNN%20g&#7917;i%20ki&#7875;m%20to&#225;n%20Nh&#224;%20n&#432;&#7899;c%20th&#225;ng%203.2016\t&#224;i%20li&#7879;u%20TDNN%20g&#7917;i\1.%20cho%20vay%20H&#7897;%20ngh&#232;o\1.%20316.NHCS.KH%20NG&#192;Y%2002.5.2003.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KTNN1\Desktop\NHCSXH%202016\Ban%20TDNN%20g&#7917;i%20ki&#7875;m%20to&#225;n%20Nh&#224;%20n&#432;&#7899;c%20th&#225;ng%203.2016\t&#224;i%20li&#7879;u%20TDNN%20g&#7917;i\1.%20cho%20vay%20H&#7897;%20ngh&#232;o\01%20Nghi%20dinh%2078..doc"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Users\KTNN1\Desktop\NHCSXH%202016\Ban%20TDNN%20g&#7917;i%20ki&#7875;m%20to&#225;n%20Nh&#224;%20n&#432;&#7899;c%20th&#225;ng%203.2016\t&#224;i%20li&#7879;u%20TDNN%20g&#7917;i\6.%20Q&#272;%20365%20cho%20vay%20Xu&#7845;t%20kh&#7849;u%20lao%20&#273;&#7897;ng\2.%201034.NHCS.TD%20%20NG&#192;Y%2021.4.2008.doc" TargetMode="External"/><Relationship Id="rId4" Type="http://schemas.openxmlformats.org/officeDocument/2006/relationships/webSettings" Target="webSettings.xml"/><Relationship Id="rId9" Type="http://schemas.openxmlformats.org/officeDocument/2006/relationships/hyperlink" Target="file:///C:\Users\KTNN1\Desktop\NHCSXH%202016\Ban%20TDNN%20g&#7917;i%20ki&#7875;m%20to&#225;n%20Nh&#224;%20n&#432;&#7899;c%20th&#225;ng%203.2016\t&#224;i%20li&#7879;u%20TDNN%20g&#7917;i\6.%20Q&#272;%20365%20cho%20vay%20Xu&#7845;t%20kh&#7849;u%20lao%20&#273;&#7897;ng\365.2004.NHNN.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3042</Words>
  <Characters>17343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2017-01-04T01:44:00Z</dcterms:created>
  <dcterms:modified xsi:type="dcterms:W3CDTF">2017-01-05T04:03:00Z</dcterms:modified>
</cp:coreProperties>
</file>